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B8D4" w14:textId="2970C81B" w:rsidR="003D3225" w:rsidRPr="00240EC2" w:rsidRDefault="00251A1A" w:rsidP="00251A1A">
      <w:pPr>
        <w:jc w:val="center"/>
      </w:pPr>
      <w:r w:rsidRPr="00251A1A">
        <w:rPr>
          <w:b/>
          <w:sz w:val="20"/>
          <w:szCs w:val="20"/>
        </w:rPr>
        <w:t>Last Touched</w:t>
      </w:r>
      <w:proofErr w:type="gramStart"/>
      <w:r w:rsidRPr="00251A1A">
        <w:rPr>
          <w:b/>
          <w:sz w:val="20"/>
          <w:szCs w:val="20"/>
        </w:rPr>
        <w:t>:</w:t>
      </w:r>
      <w:proofErr w:type="gramEnd"/>
      <w:r>
        <w:rPr>
          <w:sz w:val="16"/>
          <w:szCs w:val="16"/>
        </w:rPr>
        <w:br/>
      </w:r>
      <w:r w:rsidR="00A50411" w:rsidRPr="005702E6">
        <w:rPr>
          <w:sz w:val="40"/>
          <w:szCs w:val="40"/>
        </w:rPr>
        <w:t>Analyst: __________</w:t>
      </w:r>
      <w:r>
        <w:rPr>
          <w:sz w:val="40"/>
          <w:szCs w:val="40"/>
        </w:rPr>
        <w:t xml:space="preserve">_    </w:t>
      </w:r>
      <w:r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AM   </w:t>
      </w:r>
      <w:r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PM</w:t>
      </w:r>
      <w:r w:rsidR="00A50411" w:rsidRPr="005702E6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A50411" w:rsidRPr="005702E6">
        <w:rPr>
          <w:sz w:val="40"/>
          <w:szCs w:val="40"/>
        </w:rPr>
        <w:t>Date: ___________</w:t>
      </w:r>
      <w:r>
        <w:rPr>
          <w:sz w:val="40"/>
          <w:szCs w:val="40"/>
        </w:rPr>
        <w:t>_</w:t>
      </w:r>
      <w:r w:rsidR="005702E6">
        <w:rPr>
          <w:sz w:val="44"/>
          <w:szCs w:val="44"/>
        </w:rPr>
        <w:br/>
      </w:r>
      <w:r w:rsidR="00170D3E">
        <w:rPr>
          <w:b/>
        </w:rPr>
        <w:br/>
      </w:r>
      <w:r w:rsidR="0015791D" w:rsidRPr="0015791D">
        <w:rPr>
          <w:b/>
        </w:rPr>
        <w:t>Purpose:</w:t>
      </w:r>
      <w:r w:rsidR="0015791D">
        <w:t xml:space="preserve"> T</w:t>
      </w:r>
      <w:r w:rsidR="00240EC2">
        <w:t xml:space="preserve">o </w:t>
      </w:r>
      <w:r w:rsidR="005702E6">
        <w:t>assist</w:t>
      </w:r>
      <w:r w:rsidR="00240EC2">
        <w:t xml:space="preserve"> analysts</w:t>
      </w:r>
      <w:r w:rsidR="0015791D">
        <w:t xml:space="preserve"> </w:t>
      </w:r>
      <w:r w:rsidR="00240EC2">
        <w:t xml:space="preserve">in the daily </w:t>
      </w:r>
      <w:r w:rsidR="0015791D">
        <w:t>processing of tickets in RTIR.</w:t>
      </w:r>
      <w:r w:rsidR="00240EC2">
        <w:t xml:space="preserve"> The companion document, </w:t>
      </w:r>
      <w:r w:rsidR="00240EC2" w:rsidRPr="004D22BC">
        <w:rPr>
          <w:i/>
        </w:rPr>
        <w:t>Incident Handling Procedures</w:t>
      </w:r>
      <w:r w:rsidR="00240EC2">
        <w:t xml:space="preserve"> (</w:t>
      </w:r>
      <w:r w:rsidR="00240EC2" w:rsidRPr="005702E6">
        <w:t>available on Box</w:t>
      </w:r>
      <w:r w:rsidR="00240EC2">
        <w:t>) provides additional guidance and is authoritative</w:t>
      </w:r>
      <w:r w:rsidR="005702E6">
        <w:t xml:space="preserve"> for all </w:t>
      </w:r>
      <w:proofErr w:type="gramStart"/>
      <w:r w:rsidR="005702E6">
        <w:t>incident handling</w:t>
      </w:r>
      <w:proofErr w:type="gramEnd"/>
      <w:r w:rsidR="005702E6">
        <w:t xml:space="preserve"> matters.</w:t>
      </w:r>
    </w:p>
    <w:p w14:paraId="50C38D7B" w14:textId="0AA628C3" w:rsidR="004752CA" w:rsidRDefault="00454145" w:rsidP="00240EC2">
      <w:pPr>
        <w:pStyle w:val="ListParagraph"/>
        <w:numPr>
          <w:ilvl w:val="0"/>
          <w:numId w:val="1"/>
        </w:numPr>
      </w:pPr>
      <w:r w:rsidRPr="00454145">
        <w:rPr>
          <w:b/>
        </w:rPr>
        <w:t>1.</w:t>
      </w:r>
      <w:r>
        <w:t xml:space="preserve"> </w:t>
      </w:r>
      <w:r w:rsidR="004752CA">
        <w:t>Rev</w:t>
      </w:r>
      <w:r w:rsidR="005702E6">
        <w:t xml:space="preserve">iew the </w:t>
      </w:r>
      <w:r w:rsidR="005702E6" w:rsidRPr="004557F2">
        <w:t>Disconnection Ledger</w:t>
      </w:r>
      <w:r w:rsidR="005702E6">
        <w:t>.</w:t>
      </w:r>
      <w:r w:rsidR="00240EC2" w:rsidRPr="00240EC2">
        <w:rPr>
          <w:sz w:val="20"/>
          <w:szCs w:val="20"/>
        </w:rPr>
        <w:t xml:space="preserve"> </w:t>
      </w:r>
    </w:p>
    <w:p w14:paraId="586D3029" w14:textId="695E58A4" w:rsidR="00240EC2" w:rsidRDefault="00454145" w:rsidP="004752CA">
      <w:pPr>
        <w:pStyle w:val="ListParagraph"/>
        <w:numPr>
          <w:ilvl w:val="1"/>
          <w:numId w:val="1"/>
        </w:numPr>
      </w:pPr>
      <w:r w:rsidRPr="00454145">
        <w:rPr>
          <w:b/>
        </w:rPr>
        <w:t>1.1</w:t>
      </w:r>
      <w:r>
        <w:t xml:space="preserve"> </w:t>
      </w:r>
      <w:r w:rsidR="00240EC2">
        <w:t xml:space="preserve">Lock the </w:t>
      </w:r>
      <w:r w:rsidR="00240EC2" w:rsidRPr="004D22BC">
        <w:rPr>
          <w:i/>
        </w:rPr>
        <w:t>Disconnection Ledger</w:t>
      </w:r>
      <w:r w:rsidR="00240EC2">
        <w:t xml:space="preserve"> on Box to prevent other analysts from making simultaneous edits.</w:t>
      </w:r>
    </w:p>
    <w:p w14:paraId="79179A2C" w14:textId="56249710" w:rsidR="004752CA" w:rsidRDefault="00240EC2" w:rsidP="004752CA">
      <w:pPr>
        <w:pStyle w:val="ListParagraph"/>
        <w:numPr>
          <w:ilvl w:val="1"/>
          <w:numId w:val="1"/>
        </w:numPr>
      </w:pPr>
      <w:r>
        <w:rPr>
          <w:b/>
        </w:rPr>
        <w:t xml:space="preserve">1.2 </w:t>
      </w:r>
      <w:r w:rsidR="004752CA">
        <w:t xml:space="preserve">Review entries that do not have an Action listed (or whose action indicate </w:t>
      </w:r>
      <w:r w:rsidR="004752CA" w:rsidRPr="009C5AF0">
        <w:rPr>
          <w:i/>
        </w:rPr>
        <w:t>Deferred</w:t>
      </w:r>
      <w:r w:rsidR="004752CA">
        <w:t xml:space="preserve">), and examine </w:t>
      </w:r>
      <w:r w:rsidR="00454145">
        <w:t xml:space="preserve">the </w:t>
      </w:r>
      <w:r w:rsidR="004752CA" w:rsidRPr="009C5AF0">
        <w:rPr>
          <w:b/>
        </w:rPr>
        <w:t>Latest Incident</w:t>
      </w:r>
      <w:r w:rsidR="004752CA">
        <w:t xml:space="preserve"> and its corresponding Investigation </w:t>
      </w:r>
      <w:r w:rsidR="00454145">
        <w:t xml:space="preserve">in RTIR </w:t>
      </w:r>
      <w:r w:rsidR="004752CA">
        <w:t>for new communication from the LSP/user.</w:t>
      </w:r>
      <w:r w:rsidR="00454145">
        <w:t xml:space="preserve">  Update Ledger </w:t>
      </w:r>
      <w:r w:rsidR="009C5AF0">
        <w:t xml:space="preserve">entry, along with new </w:t>
      </w:r>
      <w:r w:rsidR="009C5AF0" w:rsidRPr="009C5AF0">
        <w:rPr>
          <w:b/>
        </w:rPr>
        <w:t>Disconnect By</w:t>
      </w:r>
      <w:r w:rsidR="009C5AF0">
        <w:t xml:space="preserve"> dates, </w:t>
      </w:r>
      <w:r w:rsidR="00454145">
        <w:t>as appropriate.</w:t>
      </w:r>
      <w:r w:rsidR="009C5AF0">
        <w:t xml:space="preserve">  </w:t>
      </w:r>
    </w:p>
    <w:p w14:paraId="198278CE" w14:textId="488F5097" w:rsidR="004752CA" w:rsidRDefault="00240EC2" w:rsidP="009C5AF0">
      <w:pPr>
        <w:pStyle w:val="ListParagraph"/>
        <w:numPr>
          <w:ilvl w:val="1"/>
          <w:numId w:val="1"/>
        </w:numPr>
      </w:pPr>
      <w:r>
        <w:rPr>
          <w:b/>
        </w:rPr>
        <w:t>1.3</w:t>
      </w:r>
      <w:r w:rsidR="00454145">
        <w:t xml:space="preserve"> Begin disconnection p</w:t>
      </w:r>
      <w:r w:rsidR="004752CA">
        <w:t xml:space="preserve">rocess for any entry whose </w:t>
      </w:r>
      <w:r w:rsidR="004752CA" w:rsidRPr="009C5AF0">
        <w:rPr>
          <w:b/>
        </w:rPr>
        <w:t>Disconnect By</w:t>
      </w:r>
      <w:r w:rsidR="004752CA">
        <w:t xml:space="preserve"> date is </w:t>
      </w:r>
      <w:proofErr w:type="gramStart"/>
      <w:r w:rsidR="004752CA">
        <w:t>either today’</w:t>
      </w:r>
      <w:r w:rsidR="009C5AF0">
        <w:t>s</w:t>
      </w:r>
      <w:proofErr w:type="gramEnd"/>
      <w:r w:rsidR="009C5AF0">
        <w:t xml:space="preserve"> date or a date in the past and whose </w:t>
      </w:r>
      <w:r w:rsidR="009C5AF0" w:rsidRPr="009C5AF0">
        <w:rPr>
          <w:b/>
        </w:rPr>
        <w:t>Action</w:t>
      </w:r>
      <w:r w:rsidR="009C5AF0">
        <w:t xml:space="preserve"> is blank or </w:t>
      </w:r>
      <w:r w:rsidR="009C5AF0">
        <w:rPr>
          <w:i/>
        </w:rPr>
        <w:t>De</w:t>
      </w:r>
      <w:r w:rsidR="009C5AF0" w:rsidRPr="009C5AF0">
        <w:rPr>
          <w:i/>
        </w:rPr>
        <w:t>ferred</w:t>
      </w:r>
      <w:r w:rsidR="009C5AF0">
        <w:t xml:space="preserve">. </w:t>
      </w:r>
    </w:p>
    <w:p w14:paraId="3D614330" w14:textId="10613651" w:rsidR="00ED6A2C" w:rsidRDefault="00ED6A2C" w:rsidP="00ED6A2C">
      <w:pPr>
        <w:pStyle w:val="ListParagraph"/>
        <w:numPr>
          <w:ilvl w:val="0"/>
          <w:numId w:val="1"/>
        </w:numPr>
      </w:pPr>
      <w:r>
        <w:rPr>
          <w:b/>
        </w:rPr>
        <w:t xml:space="preserve">2. </w:t>
      </w:r>
      <w:r>
        <w:t>Process RTIR Tickets</w:t>
      </w:r>
      <w:r w:rsidR="005702E6">
        <w:t xml:space="preserve"> </w:t>
      </w:r>
      <w:r w:rsidR="005923FC">
        <w:t xml:space="preserve">using searches and process listed in </w:t>
      </w:r>
      <w:r w:rsidR="005923FC" w:rsidRPr="004D22BC">
        <w:rPr>
          <w:i/>
        </w:rPr>
        <w:t>RTIR Saved Search Procedures</w:t>
      </w:r>
      <w:r w:rsidR="005923FC">
        <w:rPr>
          <w:i/>
        </w:rPr>
        <w:t xml:space="preserve"> </w:t>
      </w:r>
      <w:r w:rsidR="005923FC">
        <w:t>(available on Box).</w:t>
      </w:r>
    </w:p>
    <w:p w14:paraId="575B65CC" w14:textId="20FC811E" w:rsidR="00ED6A2C" w:rsidRDefault="00ED6A2C" w:rsidP="00ED6A2C">
      <w:pPr>
        <w:pStyle w:val="ListParagraph"/>
        <w:numPr>
          <w:ilvl w:val="1"/>
          <w:numId w:val="1"/>
        </w:numPr>
      </w:pPr>
      <w:r w:rsidRPr="00ED6A2C">
        <w:rPr>
          <w:b/>
        </w:rPr>
        <w:t>2.1</w:t>
      </w:r>
      <w:r>
        <w:t xml:space="preserve"> Resolve </w:t>
      </w:r>
      <w:r w:rsidR="001E5250">
        <w:t>O</w:t>
      </w:r>
      <w:r>
        <w:t xml:space="preserve">utstanding </w:t>
      </w:r>
      <w:r w:rsidR="001E5250">
        <w:t>T</w:t>
      </w:r>
      <w:r>
        <w:t>ickets</w:t>
      </w:r>
    </w:p>
    <w:p w14:paraId="685D2962" w14:textId="61948EF6" w:rsidR="00ED6A2C" w:rsidRDefault="00ED6A2C" w:rsidP="00ED6A2C">
      <w:pPr>
        <w:pStyle w:val="ListParagraph"/>
        <w:numPr>
          <w:ilvl w:val="1"/>
          <w:numId w:val="1"/>
        </w:numPr>
      </w:pPr>
      <w:r w:rsidRPr="00ED6A2C">
        <w:rPr>
          <w:b/>
        </w:rPr>
        <w:t>2.2</w:t>
      </w:r>
      <w:r>
        <w:t xml:space="preserve"> Claim </w:t>
      </w:r>
      <w:r w:rsidR="001E5250">
        <w:t>U</w:t>
      </w:r>
      <w:r>
        <w:t xml:space="preserve">nassigned </w:t>
      </w:r>
      <w:r w:rsidR="001E5250">
        <w:t>T</w:t>
      </w:r>
      <w:r>
        <w:t>ickets</w:t>
      </w:r>
      <w:r w:rsidRPr="00ED6A2C">
        <w:t xml:space="preserve"> </w:t>
      </w:r>
    </w:p>
    <w:p w14:paraId="5909927B" w14:textId="777FADD1" w:rsidR="00ED6A2C" w:rsidRDefault="00ED6A2C" w:rsidP="00ED6A2C">
      <w:pPr>
        <w:pStyle w:val="ListParagraph"/>
        <w:numPr>
          <w:ilvl w:val="1"/>
          <w:numId w:val="1"/>
        </w:numPr>
      </w:pPr>
      <w:r>
        <w:rPr>
          <w:b/>
        </w:rPr>
        <w:t>2.3</w:t>
      </w:r>
      <w:r>
        <w:t xml:space="preserve"> Bulk </w:t>
      </w:r>
      <w:r w:rsidR="001E5250">
        <w:t>R</w:t>
      </w:r>
      <w:r>
        <w:t xml:space="preserve">eject </w:t>
      </w:r>
      <w:r w:rsidR="001E5250">
        <w:t>C</w:t>
      </w:r>
      <w:r>
        <w:t>ruft</w:t>
      </w:r>
    </w:p>
    <w:p w14:paraId="5F455884" w14:textId="370A65D7" w:rsidR="00ED6A2C" w:rsidRDefault="00ED6A2C" w:rsidP="00ED6A2C">
      <w:pPr>
        <w:pStyle w:val="ListParagraph"/>
        <w:numPr>
          <w:ilvl w:val="1"/>
          <w:numId w:val="1"/>
        </w:numPr>
      </w:pPr>
      <w:r>
        <w:rPr>
          <w:b/>
        </w:rPr>
        <w:t>2.4</w:t>
      </w:r>
      <w:r w:rsidR="001E5250">
        <w:t xml:space="preserve"> Filter S</w:t>
      </w:r>
      <w:r>
        <w:t>pam</w:t>
      </w:r>
    </w:p>
    <w:p w14:paraId="0261A602" w14:textId="77777777" w:rsidR="000015EB" w:rsidRDefault="00ED6A2C" w:rsidP="000015EB">
      <w:pPr>
        <w:pStyle w:val="ListParagraph"/>
        <w:numPr>
          <w:ilvl w:val="1"/>
          <w:numId w:val="1"/>
        </w:numPr>
      </w:pPr>
      <w:r>
        <w:rPr>
          <w:b/>
        </w:rPr>
        <w:t>2.5</w:t>
      </w:r>
      <w:r>
        <w:t xml:space="preserve"> Process Incidents</w:t>
      </w:r>
    </w:p>
    <w:p w14:paraId="772A5D56" w14:textId="2F8FE344" w:rsidR="000015EB" w:rsidRDefault="004139FE" w:rsidP="000015EB">
      <w:pPr>
        <w:pStyle w:val="ListParagraph"/>
        <w:numPr>
          <w:ilvl w:val="2"/>
          <w:numId w:val="1"/>
        </w:numPr>
      </w:pPr>
      <w:r>
        <w:t>2.5.</w:t>
      </w:r>
      <w:r w:rsidR="00C06ABE">
        <w:t>1</w:t>
      </w:r>
      <w:r>
        <w:t xml:space="preserve"> </w:t>
      </w:r>
      <w:r w:rsidR="006750D7">
        <w:t xml:space="preserve">Set </w:t>
      </w:r>
      <w:r w:rsidR="006750D7" w:rsidRPr="000015EB">
        <w:rPr>
          <w:b/>
        </w:rPr>
        <w:t>Type</w:t>
      </w:r>
      <w:r w:rsidR="006750D7">
        <w:t xml:space="preserve"> to </w:t>
      </w:r>
      <w:r w:rsidR="006750D7" w:rsidRPr="000015EB">
        <w:rPr>
          <w:i/>
        </w:rPr>
        <w:t>Other credential compromise</w:t>
      </w:r>
      <w:r w:rsidR="006750D7">
        <w:t xml:space="preserve"> for </w:t>
      </w:r>
      <w:r w:rsidR="000015EB">
        <w:t>REN-ISAC Credential Compromise</w:t>
      </w:r>
      <w:r w:rsidR="001E5250">
        <w:t xml:space="preserve"> or </w:t>
      </w:r>
      <w:proofErr w:type="spellStart"/>
      <w:r w:rsidR="001E5250">
        <w:t>SpamCop</w:t>
      </w:r>
      <w:proofErr w:type="spellEnd"/>
      <w:r w:rsidR="001E5250">
        <w:t xml:space="preserve"> reports.</w:t>
      </w:r>
    </w:p>
    <w:p w14:paraId="2F4B9871" w14:textId="7CF2C533" w:rsidR="00AD2442" w:rsidRPr="00202F30" w:rsidRDefault="00C06ABE" w:rsidP="00AD2442">
      <w:pPr>
        <w:pStyle w:val="ListParagraph"/>
        <w:numPr>
          <w:ilvl w:val="2"/>
          <w:numId w:val="1"/>
        </w:numPr>
      </w:pPr>
      <w:r>
        <w:t>2.5.2</w:t>
      </w:r>
      <w:r w:rsidR="004139FE">
        <w:t xml:space="preserve"> </w:t>
      </w:r>
      <w:r w:rsidR="000E1F9E">
        <w:t>I</w:t>
      </w:r>
      <w:r w:rsidR="006750D7">
        <w:t xml:space="preserve">n Ledger under </w:t>
      </w:r>
      <w:r w:rsidR="006750D7" w:rsidRPr="000015EB">
        <w:rPr>
          <w:b/>
        </w:rPr>
        <w:t>NOC Response</w:t>
      </w:r>
      <w:r w:rsidR="000E1F9E">
        <w:t>, list</w:t>
      </w:r>
      <w:r w:rsidR="006750D7">
        <w:t xml:space="preserve"> </w:t>
      </w:r>
      <w:r w:rsidR="000E1F9E">
        <w:t xml:space="preserve">the Incident Report number of </w:t>
      </w:r>
      <w:r w:rsidR="006750D7">
        <w:t xml:space="preserve">any </w:t>
      </w:r>
      <w:r w:rsidR="000015EB">
        <w:t>NOC replies confirming blocks/disconnects</w:t>
      </w:r>
      <w:r w:rsidR="00986070">
        <w:t>/whitelists</w:t>
      </w:r>
      <w:r w:rsidR="000E1F9E">
        <w:t>.</w:t>
      </w:r>
    </w:p>
    <w:p w14:paraId="0223FCB3" w14:textId="42FC6D5C" w:rsidR="00202F30" w:rsidRDefault="00C06ABE" w:rsidP="00202F30">
      <w:pPr>
        <w:pStyle w:val="ListParagraph"/>
        <w:numPr>
          <w:ilvl w:val="2"/>
          <w:numId w:val="1"/>
        </w:numPr>
      </w:pPr>
      <w:r>
        <w:t>2.5.3</w:t>
      </w:r>
      <w:r w:rsidR="004139FE">
        <w:t xml:space="preserve"> </w:t>
      </w:r>
      <w:r w:rsidR="006750D7">
        <w:t xml:space="preserve">Refer to the “Related” window in the Incident Report when </w:t>
      </w:r>
      <w:r w:rsidR="00202F30">
        <w:t>handling Host Compromises</w:t>
      </w:r>
      <w:r w:rsidR="004207E3">
        <w:t xml:space="preserve"> </w:t>
      </w:r>
      <w:r w:rsidR="00AD2442">
        <w:t>to avoid duplication or misclassification of ticket type</w:t>
      </w:r>
      <w:r w:rsidR="0015791D">
        <w:t>.</w:t>
      </w:r>
      <w:r w:rsidR="004207E3">
        <w:t xml:space="preserve">  Duplication is </w:t>
      </w:r>
      <w:r w:rsidR="000E1F9E">
        <w:t>defined as</w:t>
      </w:r>
      <w:r w:rsidR="004207E3">
        <w:t xml:space="preserve"> having more than one Incident within 7 calendar</w:t>
      </w:r>
      <w:r w:rsidR="000E1F9E">
        <w:t xml:space="preserve"> days for the same host or user for the same general concern.</w:t>
      </w:r>
    </w:p>
    <w:p w14:paraId="39A203BE" w14:textId="735EEA43" w:rsidR="00AD2442" w:rsidRDefault="00C06ABE" w:rsidP="00202F30">
      <w:pPr>
        <w:pStyle w:val="ListParagraph"/>
        <w:numPr>
          <w:ilvl w:val="2"/>
          <w:numId w:val="1"/>
        </w:numPr>
      </w:pPr>
      <w:r>
        <w:t>2.5.4</w:t>
      </w:r>
      <w:r w:rsidR="004139FE">
        <w:t xml:space="preserve"> </w:t>
      </w:r>
      <w:r w:rsidR="006750D7">
        <w:t>M</w:t>
      </w:r>
      <w:r w:rsidR="00AD2442">
        <w:t xml:space="preserve">ark as </w:t>
      </w:r>
      <w:r w:rsidR="00AD2442" w:rsidRPr="00AD2442">
        <w:rPr>
          <w:b/>
        </w:rPr>
        <w:t>Type</w:t>
      </w:r>
      <w:r w:rsidR="00AD2442">
        <w:t xml:space="preserve"> </w:t>
      </w:r>
      <w:r w:rsidR="00AD2442" w:rsidRPr="00AD2442">
        <w:rPr>
          <w:i/>
        </w:rPr>
        <w:t>Proactive</w:t>
      </w:r>
      <w:r w:rsidR="00AD2442">
        <w:t xml:space="preserve"> those Incidents who were externally reported but were previously identified and reported as an Incident by the IDS.</w:t>
      </w:r>
    </w:p>
    <w:p w14:paraId="17766A04" w14:textId="0CFE71A5" w:rsidR="00986070" w:rsidRDefault="00986070" w:rsidP="00202F30">
      <w:pPr>
        <w:pStyle w:val="ListParagraph"/>
        <w:numPr>
          <w:ilvl w:val="2"/>
          <w:numId w:val="1"/>
        </w:numPr>
      </w:pPr>
      <w:r>
        <w:t xml:space="preserve">2.5.5 </w:t>
      </w:r>
      <w:r w:rsidR="008165BD">
        <w:t>Send a Disconnection Warning and enter into the Disconnection Ledge</w:t>
      </w:r>
      <w:r w:rsidR="0015791D">
        <w:t>r</w:t>
      </w:r>
      <w:r w:rsidR="008165BD">
        <w:t xml:space="preserve"> </w:t>
      </w:r>
      <w:r w:rsidR="0015791D">
        <w:t>i</w:t>
      </w:r>
      <w:r>
        <w:t xml:space="preserve">ndividuals/systems who receive a </w:t>
      </w:r>
      <w:r w:rsidRPr="004557F2">
        <w:rPr>
          <w:b/>
        </w:rPr>
        <w:t>second notification</w:t>
      </w:r>
      <w:r w:rsidR="004557F2" w:rsidRPr="004557F2">
        <w:rPr>
          <w:b/>
        </w:rPr>
        <w:t xml:space="preserve"> after 7 but no later than 45 calendar days after the date of the original </w:t>
      </w:r>
      <w:r w:rsidR="004557F2" w:rsidRPr="004557F2">
        <w:rPr>
          <w:b/>
          <w:i/>
        </w:rPr>
        <w:t>Incident</w:t>
      </w:r>
      <w:r w:rsidR="004557F2" w:rsidRPr="004557F2">
        <w:rPr>
          <w:b/>
        </w:rPr>
        <w:t>.</w:t>
      </w:r>
    </w:p>
    <w:p w14:paraId="34CDEBB4" w14:textId="77777777" w:rsidR="00AD2442" w:rsidRDefault="00AD2442" w:rsidP="00AD2442">
      <w:pPr>
        <w:pStyle w:val="ListParagraph"/>
        <w:numPr>
          <w:ilvl w:val="1"/>
          <w:numId w:val="1"/>
        </w:numPr>
      </w:pPr>
      <w:r>
        <w:rPr>
          <w:b/>
        </w:rPr>
        <w:t>2.6</w:t>
      </w:r>
      <w:r>
        <w:t xml:space="preserve"> Process DMCA</w:t>
      </w:r>
    </w:p>
    <w:p w14:paraId="306291C2" w14:textId="524E1908" w:rsidR="00AD2442" w:rsidRPr="004557F2" w:rsidRDefault="00AD2442" w:rsidP="004557F2">
      <w:pPr>
        <w:pStyle w:val="ListParagraph"/>
        <w:numPr>
          <w:ilvl w:val="0"/>
          <w:numId w:val="1"/>
        </w:numPr>
      </w:pPr>
      <w:r>
        <w:rPr>
          <w:b/>
        </w:rPr>
        <w:t xml:space="preserve">3. </w:t>
      </w:r>
      <w:r>
        <w:t>Review reports for irregularities</w:t>
      </w:r>
    </w:p>
    <w:p w14:paraId="507E841C" w14:textId="4723A868" w:rsidR="004139FE" w:rsidRPr="004139FE" w:rsidRDefault="004139FE" w:rsidP="004557F2">
      <w:pPr>
        <w:pStyle w:val="ListParagraph"/>
        <w:numPr>
          <w:ilvl w:val="1"/>
          <w:numId w:val="1"/>
        </w:numPr>
        <w:rPr>
          <w:b/>
        </w:rPr>
      </w:pPr>
      <w:r w:rsidRPr="004557F2">
        <w:rPr>
          <w:b/>
        </w:rPr>
        <w:t>3</w:t>
      </w:r>
      <w:r w:rsidR="004557F2" w:rsidRPr="004557F2">
        <w:rPr>
          <w:b/>
        </w:rPr>
        <w:t>.1</w:t>
      </w:r>
      <w:r>
        <w:t xml:space="preserve"> </w:t>
      </w:r>
      <w:r w:rsidR="00AD2442" w:rsidRPr="004139FE">
        <w:rPr>
          <w:i/>
        </w:rPr>
        <w:t>Wire</w:t>
      </w:r>
      <w:r w:rsidR="004557F2">
        <w:rPr>
          <w:i/>
        </w:rPr>
        <w:t>d/Wire</w:t>
      </w:r>
      <w:r w:rsidR="00AD2442" w:rsidRPr="004139FE">
        <w:rPr>
          <w:i/>
        </w:rPr>
        <w:t>less Host Compromises – Last Week</w:t>
      </w:r>
      <w:r w:rsidR="00AD2442">
        <w:t xml:space="preserve"> should not list more than 1 Incident</w:t>
      </w:r>
      <w:r w:rsidR="004557F2">
        <w:t>.</w:t>
      </w:r>
    </w:p>
    <w:p w14:paraId="00943205" w14:textId="661B910E" w:rsidR="004557F2" w:rsidRPr="004557F2" w:rsidRDefault="004139FE" w:rsidP="004557F2">
      <w:pPr>
        <w:pStyle w:val="ListParagraph"/>
        <w:numPr>
          <w:ilvl w:val="1"/>
          <w:numId w:val="1"/>
        </w:numPr>
        <w:rPr>
          <w:b/>
        </w:rPr>
      </w:pPr>
      <w:r w:rsidRPr="004557F2">
        <w:rPr>
          <w:b/>
        </w:rPr>
        <w:t>3.</w:t>
      </w:r>
      <w:r w:rsidR="004557F2" w:rsidRPr="004557F2">
        <w:rPr>
          <w:b/>
        </w:rPr>
        <w:t>2</w:t>
      </w:r>
      <w:r>
        <w:t xml:space="preserve"> </w:t>
      </w:r>
      <w:r w:rsidR="00AD2442" w:rsidRPr="004139FE">
        <w:rPr>
          <w:i/>
        </w:rPr>
        <w:t>Wir</w:t>
      </w:r>
      <w:r w:rsidR="004557F2">
        <w:rPr>
          <w:i/>
        </w:rPr>
        <w:t>ed/Wire</w:t>
      </w:r>
      <w:r w:rsidR="00AD2442" w:rsidRPr="004139FE">
        <w:rPr>
          <w:i/>
        </w:rPr>
        <w:t>less Host Compromises – Last Month</w:t>
      </w:r>
      <w:r w:rsidR="00AD2442">
        <w:t xml:space="preserve"> should not list more than 4 Incidents</w:t>
      </w:r>
      <w:r w:rsidR="004557F2">
        <w:t xml:space="preserve">.  </w:t>
      </w:r>
      <w:r w:rsidR="004557F2" w:rsidRPr="004557F2">
        <w:rPr>
          <w:b/>
        </w:rPr>
        <w:t>Any users/systems with two or more entries should</w:t>
      </w:r>
      <w:r w:rsidR="004557F2">
        <w:rPr>
          <w:b/>
        </w:rPr>
        <w:t xml:space="preserve"> be listed i</w:t>
      </w:r>
      <w:r w:rsidR="004557F2" w:rsidRPr="004557F2">
        <w:rPr>
          <w:b/>
        </w:rPr>
        <w:t>n the Disconnection Ledger.</w:t>
      </w:r>
    </w:p>
    <w:p w14:paraId="1103AB6B" w14:textId="164FE5C5" w:rsidR="004139FE" w:rsidRPr="004139FE" w:rsidRDefault="004139FE" w:rsidP="004557F2">
      <w:pPr>
        <w:pStyle w:val="ListParagraph"/>
        <w:numPr>
          <w:ilvl w:val="1"/>
          <w:numId w:val="1"/>
        </w:numPr>
        <w:rPr>
          <w:b/>
        </w:rPr>
      </w:pPr>
      <w:r w:rsidRPr="004557F2">
        <w:rPr>
          <w:b/>
        </w:rPr>
        <w:t>3.3</w:t>
      </w:r>
      <w:r>
        <w:t xml:space="preserve"> </w:t>
      </w:r>
      <w:r w:rsidR="00AD2442">
        <w:t xml:space="preserve">Examine the </w:t>
      </w:r>
      <w:r w:rsidR="00AD2442" w:rsidRPr="00AD2442">
        <w:rPr>
          <w:b/>
        </w:rPr>
        <w:t>External</w:t>
      </w:r>
      <w:r w:rsidR="00AD2442">
        <w:t xml:space="preserve"> </w:t>
      </w:r>
      <w:r>
        <w:t xml:space="preserve">tickets referenced in </w:t>
      </w:r>
      <w:r w:rsidR="00AD2442">
        <w:t xml:space="preserve">the </w:t>
      </w:r>
      <w:r w:rsidR="00AD2442" w:rsidRPr="004139FE">
        <w:rPr>
          <w:i/>
        </w:rPr>
        <w:t xml:space="preserve">Proactive vs External </w:t>
      </w:r>
      <w:r w:rsidRPr="004139FE">
        <w:rPr>
          <w:i/>
        </w:rPr>
        <w:t>– Last Week/Month</w:t>
      </w:r>
      <w:r>
        <w:t xml:space="preserve"> queries, and ensure each ticket was properly handled.</w:t>
      </w:r>
    </w:p>
    <w:p w14:paraId="5E30FB66" w14:textId="264D5A76" w:rsidR="004139FE" w:rsidRPr="002157CA" w:rsidRDefault="004557F2" w:rsidP="004557F2">
      <w:pPr>
        <w:pStyle w:val="ListParagraph"/>
        <w:numPr>
          <w:ilvl w:val="1"/>
          <w:numId w:val="1"/>
        </w:numPr>
        <w:rPr>
          <w:b/>
        </w:rPr>
      </w:pPr>
      <w:r w:rsidRPr="004557F2">
        <w:rPr>
          <w:b/>
        </w:rPr>
        <w:t>3.4</w:t>
      </w:r>
      <w:r w:rsidR="004139FE">
        <w:t xml:space="preserve"> Any </w:t>
      </w:r>
      <w:r w:rsidR="004139FE" w:rsidRPr="004139FE">
        <w:rPr>
          <w:i/>
        </w:rPr>
        <w:t>Outstanding Incidents/Incident Reports</w:t>
      </w:r>
      <w:r w:rsidR="004139FE">
        <w:t xml:space="preserve"> that are not consultative in nature should be resolved as soon as possible.</w:t>
      </w:r>
    </w:p>
    <w:p w14:paraId="2CCE96D0" w14:textId="0B024FD5" w:rsidR="004139FE" w:rsidRPr="004557F2" w:rsidRDefault="002157CA" w:rsidP="004557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4. </w:t>
      </w:r>
      <w:r>
        <w:t xml:space="preserve">Contact NOC for pending blocks/disconnects/whitelists that haven’t been responded to (as determined by having a blank field in </w:t>
      </w:r>
      <w:r w:rsidRPr="002157CA">
        <w:rPr>
          <w:b/>
        </w:rPr>
        <w:t>NOC Response</w:t>
      </w:r>
      <w:r>
        <w:t xml:space="preserve"> in the Ledger) within 2 days of the </w:t>
      </w:r>
      <w:r w:rsidRPr="002157CA">
        <w:rPr>
          <w:b/>
        </w:rPr>
        <w:t>NOC Request Sent</w:t>
      </w:r>
      <w:r>
        <w:t xml:space="preserve"> date.</w:t>
      </w:r>
    </w:p>
    <w:p w14:paraId="72BD53A6" w14:textId="2C117548" w:rsidR="004557F2" w:rsidRPr="009618F3" w:rsidRDefault="004557F2" w:rsidP="004557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5.</w:t>
      </w:r>
      <w:r>
        <w:t xml:space="preserve"> Unlock the </w:t>
      </w:r>
      <w:r w:rsidRPr="004D22BC">
        <w:rPr>
          <w:i/>
        </w:rPr>
        <w:t>Disconnection</w:t>
      </w:r>
      <w:bookmarkStart w:id="0" w:name="_GoBack"/>
      <w:bookmarkEnd w:id="0"/>
      <w:r w:rsidRPr="004D22BC">
        <w:rPr>
          <w:i/>
        </w:rPr>
        <w:t xml:space="preserve"> Ledger</w:t>
      </w:r>
      <w:r>
        <w:t xml:space="preserve">. </w:t>
      </w:r>
    </w:p>
    <w:p w14:paraId="1D7ABDF7" w14:textId="77777777" w:rsidR="009618F3" w:rsidRDefault="009618F3" w:rsidP="009618F3">
      <w:pPr>
        <w:pStyle w:val="ListParagraph"/>
        <w:rPr>
          <w:b/>
        </w:rPr>
      </w:pPr>
    </w:p>
    <w:p w14:paraId="08D67125" w14:textId="25BF45B3" w:rsidR="009618F3" w:rsidRPr="00050BBC" w:rsidRDefault="009618F3" w:rsidP="009618F3">
      <w:pPr>
        <w:pStyle w:val="ListParagraph"/>
        <w:rPr>
          <w:b/>
          <w:sz w:val="28"/>
          <w:szCs w:val="28"/>
        </w:rPr>
      </w:pPr>
      <w:r w:rsidRPr="00050BBC">
        <w:rPr>
          <w:b/>
          <w:sz w:val="28"/>
          <w:szCs w:val="28"/>
        </w:rPr>
        <w:lastRenderedPageBreak/>
        <w:t>References</w:t>
      </w:r>
    </w:p>
    <w:p w14:paraId="35E1B2C7" w14:textId="77777777" w:rsidR="009618F3" w:rsidRDefault="009618F3" w:rsidP="009618F3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965"/>
      </w:tblGrid>
      <w:tr w:rsidR="009618F3" w14:paraId="172627D6" w14:textId="77777777" w:rsidTr="00050BBC">
        <w:tc>
          <w:tcPr>
            <w:tcW w:w="2965" w:type="dxa"/>
            <w:shd w:val="clear" w:color="auto" w:fill="D9D9D9" w:themeFill="background1" w:themeFillShade="D9"/>
          </w:tcPr>
          <w:p w14:paraId="69D1BC1C" w14:textId="77777777" w:rsidR="009618F3" w:rsidRDefault="009618F3" w:rsidP="009579F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579FA">
              <w:rPr>
                <w:b/>
                <w:sz w:val="28"/>
                <w:szCs w:val="28"/>
              </w:rPr>
              <w:t>NOC D/C Responses</w:t>
            </w:r>
          </w:p>
          <w:p w14:paraId="76A1E428" w14:textId="77777777" w:rsidR="00050BBC" w:rsidRDefault="00050BBC" w:rsidP="009579F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50BBC">
              <w:rPr>
                <w:sz w:val="18"/>
                <w:szCs w:val="18"/>
              </w:rPr>
              <w:t xml:space="preserve">Should contain </w:t>
            </w:r>
            <w:r>
              <w:rPr>
                <w:sz w:val="18"/>
                <w:szCs w:val="18"/>
              </w:rPr>
              <w:t>the following</w:t>
            </w:r>
          </w:p>
          <w:p w14:paraId="48C05FC0" w14:textId="3BBAC579" w:rsidR="00050BBC" w:rsidRPr="00050BBC" w:rsidRDefault="00050BBC" w:rsidP="009579F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fields (as applicable):</w:t>
            </w:r>
          </w:p>
        </w:tc>
      </w:tr>
      <w:tr w:rsidR="009618F3" w14:paraId="133924C8" w14:textId="77777777" w:rsidTr="00050BBC">
        <w:trPr>
          <w:trHeight w:val="368"/>
        </w:trPr>
        <w:tc>
          <w:tcPr>
            <w:tcW w:w="2965" w:type="dxa"/>
            <w:vAlign w:val="center"/>
          </w:tcPr>
          <w:p w14:paraId="2DD3037A" w14:textId="37BEFF6A" w:rsidR="009618F3" w:rsidRPr="00050BBC" w:rsidRDefault="009618F3" w:rsidP="00050BB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50BBC">
              <w:rPr>
                <w:sz w:val="28"/>
                <w:szCs w:val="28"/>
              </w:rPr>
              <w:t>Penn</w:t>
            </w:r>
            <w:r w:rsidR="009579FA" w:rsidRPr="00050BBC">
              <w:rPr>
                <w:sz w:val="28"/>
                <w:szCs w:val="28"/>
              </w:rPr>
              <w:t>Key</w:t>
            </w:r>
          </w:p>
        </w:tc>
      </w:tr>
      <w:tr w:rsidR="009618F3" w14:paraId="74BC30CD" w14:textId="77777777" w:rsidTr="00050BBC">
        <w:tc>
          <w:tcPr>
            <w:tcW w:w="2965" w:type="dxa"/>
            <w:vAlign w:val="center"/>
          </w:tcPr>
          <w:p w14:paraId="1244CEBF" w14:textId="355956A8" w:rsidR="009618F3" w:rsidRPr="00050BBC" w:rsidRDefault="009579FA" w:rsidP="00050BB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50BBC">
              <w:rPr>
                <w:sz w:val="28"/>
                <w:szCs w:val="28"/>
              </w:rPr>
              <w:t>MAC Address</w:t>
            </w:r>
          </w:p>
        </w:tc>
      </w:tr>
      <w:tr w:rsidR="009618F3" w14:paraId="5EC6A3CD" w14:textId="77777777" w:rsidTr="00050BBC">
        <w:tc>
          <w:tcPr>
            <w:tcW w:w="2965" w:type="dxa"/>
            <w:vAlign w:val="center"/>
          </w:tcPr>
          <w:p w14:paraId="72A92A3F" w14:textId="36670618" w:rsidR="009618F3" w:rsidRPr="00050BBC" w:rsidRDefault="009579FA" w:rsidP="00050BB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50BBC">
              <w:rPr>
                <w:sz w:val="28"/>
                <w:szCs w:val="28"/>
              </w:rPr>
              <w:t>Connection Type</w:t>
            </w:r>
          </w:p>
        </w:tc>
      </w:tr>
      <w:tr w:rsidR="009618F3" w14:paraId="231EA31C" w14:textId="77777777" w:rsidTr="00050BBC">
        <w:tc>
          <w:tcPr>
            <w:tcW w:w="2965" w:type="dxa"/>
            <w:vAlign w:val="center"/>
          </w:tcPr>
          <w:p w14:paraId="0586E57D" w14:textId="2961A92D" w:rsidR="009618F3" w:rsidRPr="00050BBC" w:rsidRDefault="009579FA" w:rsidP="00050BB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50BBC">
              <w:rPr>
                <w:sz w:val="28"/>
                <w:szCs w:val="28"/>
              </w:rPr>
              <w:t>Customer</w:t>
            </w:r>
          </w:p>
        </w:tc>
      </w:tr>
      <w:tr w:rsidR="009618F3" w14:paraId="441B7667" w14:textId="77777777" w:rsidTr="00050BBC">
        <w:tc>
          <w:tcPr>
            <w:tcW w:w="2965" w:type="dxa"/>
            <w:vAlign w:val="center"/>
          </w:tcPr>
          <w:p w14:paraId="69643393" w14:textId="6C42ABE0" w:rsidR="009618F3" w:rsidRPr="00050BBC" w:rsidRDefault="009579FA" w:rsidP="00050BB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50BBC">
              <w:rPr>
                <w:sz w:val="28"/>
                <w:szCs w:val="28"/>
              </w:rPr>
              <w:t>Type</w:t>
            </w:r>
          </w:p>
        </w:tc>
      </w:tr>
    </w:tbl>
    <w:p w14:paraId="2E945276" w14:textId="77777777" w:rsidR="009618F3" w:rsidRPr="004557F2" w:rsidRDefault="009618F3" w:rsidP="009618F3">
      <w:pPr>
        <w:pStyle w:val="ListParagraph"/>
        <w:rPr>
          <w:b/>
        </w:rPr>
      </w:pPr>
    </w:p>
    <w:sectPr w:rsidR="009618F3" w:rsidRPr="004557F2" w:rsidSect="000015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213C" w14:textId="77777777" w:rsidR="001A63DA" w:rsidRDefault="001A63DA" w:rsidP="004752CA">
      <w:pPr>
        <w:spacing w:after="0" w:line="240" w:lineRule="auto"/>
      </w:pPr>
      <w:r>
        <w:separator/>
      </w:r>
    </w:p>
  </w:endnote>
  <w:endnote w:type="continuationSeparator" w:id="0">
    <w:p w14:paraId="1C3296B1" w14:textId="77777777" w:rsidR="001A63DA" w:rsidRDefault="001A63DA" w:rsidP="004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1158" w14:textId="43F1C203" w:rsidR="00AF1E59" w:rsidRDefault="00F7715E" w:rsidP="00AF1E59">
    <w:pPr>
      <w:pStyle w:val="Footer"/>
      <w:tabs>
        <w:tab w:val="clear" w:pos="4680"/>
        <w:tab w:val="clear" w:pos="9360"/>
        <w:tab w:val="left" w:pos="9750"/>
      </w:tabs>
    </w:pPr>
    <w:r>
      <w:t>University of Pennsylvania</w:t>
    </w:r>
    <w:r w:rsidR="00AF1E59">
      <w:t xml:space="preserve"> </w:t>
    </w:r>
    <w:r w:rsidR="00AF1E59">
      <w:ptab w:relativeTo="margin" w:alignment="center" w:leader="none"/>
    </w:r>
    <w:r w:rsidR="00A50411">
      <w:fldChar w:fldCharType="begin"/>
    </w:r>
    <w:r w:rsidR="00A50411">
      <w:instrText xml:space="preserve"> PAGE  \* Arabic  \* MERGEFORMAT </w:instrText>
    </w:r>
    <w:r w:rsidR="00A50411">
      <w:fldChar w:fldCharType="separate"/>
    </w:r>
    <w:r w:rsidR="004D22BC">
      <w:rPr>
        <w:noProof/>
      </w:rPr>
      <w:t>1</w:t>
    </w:r>
    <w:r w:rsidR="00A50411">
      <w:fldChar w:fldCharType="end"/>
    </w:r>
    <w:r w:rsidR="00AF1E59">
      <w:ptab w:relativeTo="margin" w:alignment="right" w:leader="none"/>
    </w:r>
    <w:r w:rsidR="009618F3"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21FB" w14:textId="77777777" w:rsidR="001A63DA" w:rsidRDefault="001A63DA" w:rsidP="004752CA">
      <w:pPr>
        <w:spacing w:after="0" w:line="240" w:lineRule="auto"/>
      </w:pPr>
      <w:r>
        <w:separator/>
      </w:r>
    </w:p>
  </w:footnote>
  <w:footnote w:type="continuationSeparator" w:id="0">
    <w:p w14:paraId="48FB67DD" w14:textId="77777777" w:rsidR="001A63DA" w:rsidRDefault="001A63DA" w:rsidP="0047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094"/>
      <w:gridCol w:w="1350"/>
    </w:tblGrid>
    <w:tr w:rsidR="00A50411" w14:paraId="12F07D4C" w14:textId="77777777" w:rsidTr="00F303FC">
      <w:trPr>
        <w:jc w:val="center"/>
      </w:trPr>
      <w:tc>
        <w:tcPr>
          <w:tcW w:w="1266" w:type="dxa"/>
          <w:vAlign w:val="center"/>
        </w:tcPr>
        <w:p w14:paraId="7D824F62" w14:textId="77777777" w:rsidR="00A50411" w:rsidRDefault="00A50411" w:rsidP="00A50411">
          <w:pPr>
            <w:pStyle w:val="Header"/>
          </w:pPr>
          <w:r>
            <w:rPr>
              <w:noProof/>
            </w:rPr>
            <w:drawing>
              <wp:inline distT="0" distB="0" distL="0" distR="0" wp14:anchorId="32C60FA4" wp14:editId="34C0A59C">
                <wp:extent cx="657542" cy="588645"/>
                <wp:effectExtent l="0" t="0" r="952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PENN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42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</w:tcPr>
        <w:p w14:paraId="0B2C6A13" w14:textId="77777777" w:rsidR="00A50411" w:rsidRDefault="00A50411" w:rsidP="00A50411">
          <w:pPr>
            <w:pStyle w:val="Header"/>
            <w:jc w:val="center"/>
            <w:rPr>
              <w:b/>
              <w:sz w:val="36"/>
            </w:rPr>
          </w:pPr>
          <w:r w:rsidRPr="00914048">
            <w:rPr>
              <w:b/>
              <w:sz w:val="36"/>
            </w:rPr>
            <w:t>Office of Information Security</w:t>
          </w:r>
        </w:p>
        <w:p w14:paraId="41EE1DF7" w14:textId="6D161092" w:rsidR="00A50411" w:rsidRDefault="00A50411" w:rsidP="00A50411">
          <w:pPr>
            <w:pStyle w:val="Header"/>
            <w:jc w:val="center"/>
          </w:pPr>
          <w:r>
            <w:rPr>
              <w:b/>
              <w:sz w:val="36"/>
            </w:rPr>
            <w:t>Ticket Handling SOP</w:t>
          </w:r>
        </w:p>
      </w:tc>
      <w:tc>
        <w:tcPr>
          <w:tcW w:w="1350" w:type="dxa"/>
          <w:shd w:val="clear" w:color="auto" w:fill="FFFFFF" w:themeFill="background1"/>
          <w:vAlign w:val="bottom"/>
        </w:tcPr>
        <w:p w14:paraId="67005602" w14:textId="42053035" w:rsidR="00A50411" w:rsidRDefault="009618F3" w:rsidP="00A50411">
          <w:pPr>
            <w:pStyle w:val="Header"/>
            <w:jc w:val="right"/>
          </w:pPr>
          <w:r>
            <w:t>Ver. 20170518</w:t>
          </w:r>
        </w:p>
      </w:tc>
    </w:tr>
  </w:tbl>
  <w:p w14:paraId="5BD6D285" w14:textId="77777777" w:rsidR="00A50411" w:rsidRDefault="00A50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31"/>
    <w:multiLevelType w:val="hybridMultilevel"/>
    <w:tmpl w:val="3F9A7A30"/>
    <w:lvl w:ilvl="0" w:tplc="0F5A645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F5A645A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F5A645A">
      <w:numFmt w:val="bullet"/>
      <w:lvlText w:val="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3"/>
    <w:rsid w:val="000015EB"/>
    <w:rsid w:val="00050BBC"/>
    <w:rsid w:val="000E1F9E"/>
    <w:rsid w:val="0015791D"/>
    <w:rsid w:val="00167706"/>
    <w:rsid w:val="00170D3E"/>
    <w:rsid w:val="001A63DA"/>
    <w:rsid w:val="001B7ADC"/>
    <w:rsid w:val="001E5250"/>
    <w:rsid w:val="00202F30"/>
    <w:rsid w:val="002157CA"/>
    <w:rsid w:val="00240EC2"/>
    <w:rsid w:val="00251A1A"/>
    <w:rsid w:val="0038682F"/>
    <w:rsid w:val="003A1F45"/>
    <w:rsid w:val="003C3ECE"/>
    <w:rsid w:val="003D3225"/>
    <w:rsid w:val="004139FE"/>
    <w:rsid w:val="004207E3"/>
    <w:rsid w:val="00454145"/>
    <w:rsid w:val="004557F2"/>
    <w:rsid w:val="004752CA"/>
    <w:rsid w:val="00484470"/>
    <w:rsid w:val="004865EF"/>
    <w:rsid w:val="004D22BC"/>
    <w:rsid w:val="00553ABD"/>
    <w:rsid w:val="005702E6"/>
    <w:rsid w:val="005923FC"/>
    <w:rsid w:val="006750D7"/>
    <w:rsid w:val="00714283"/>
    <w:rsid w:val="008165BD"/>
    <w:rsid w:val="008F43EA"/>
    <w:rsid w:val="009579FA"/>
    <w:rsid w:val="009618F3"/>
    <w:rsid w:val="00986070"/>
    <w:rsid w:val="009C5AF0"/>
    <w:rsid w:val="00A50411"/>
    <w:rsid w:val="00AD2442"/>
    <w:rsid w:val="00AF1E59"/>
    <w:rsid w:val="00B57976"/>
    <w:rsid w:val="00B86AB8"/>
    <w:rsid w:val="00C06ABE"/>
    <w:rsid w:val="00CB7767"/>
    <w:rsid w:val="00D9000D"/>
    <w:rsid w:val="00D94383"/>
    <w:rsid w:val="00E26660"/>
    <w:rsid w:val="00E62446"/>
    <w:rsid w:val="00ED00CC"/>
    <w:rsid w:val="00ED6A2C"/>
    <w:rsid w:val="00F35AF5"/>
    <w:rsid w:val="00F7715E"/>
    <w:rsid w:val="00FA317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E5E8"/>
  <w15:chartTrackingRefBased/>
  <w15:docId w15:val="{D8ED1BA6-B753-4FC7-A925-6A4BF7A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CA"/>
  </w:style>
  <w:style w:type="paragraph" w:styleId="Footer">
    <w:name w:val="footer"/>
    <w:basedOn w:val="Normal"/>
    <w:link w:val="FooterChar"/>
    <w:uiPriority w:val="99"/>
    <w:unhideWhenUsed/>
    <w:rsid w:val="0047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CA"/>
  </w:style>
  <w:style w:type="paragraph" w:styleId="Title">
    <w:name w:val="Title"/>
    <w:basedOn w:val="Normal"/>
    <w:next w:val="Normal"/>
    <w:link w:val="TitleChar"/>
    <w:uiPriority w:val="10"/>
    <w:qFormat/>
    <w:rsid w:val="00475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0411"/>
    <w:pPr>
      <w:spacing w:line="252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12BE-4DF0-44D9-BBE6-8A875966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 Earley</dc:creator>
  <cp:keywords/>
  <dc:description/>
  <cp:lastModifiedBy>Earley, David James</cp:lastModifiedBy>
  <cp:revision>13</cp:revision>
  <cp:lastPrinted>2016-04-14T18:51:00Z</cp:lastPrinted>
  <dcterms:created xsi:type="dcterms:W3CDTF">2016-04-14T18:51:00Z</dcterms:created>
  <dcterms:modified xsi:type="dcterms:W3CDTF">2018-04-08T18:50:00Z</dcterms:modified>
</cp:coreProperties>
</file>