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pPr>
      <w:r w:rsidDel="00000000" w:rsidR="00000000" w:rsidRPr="00000000">
        <w:rPr>
          <w:rtl w:val="0"/>
        </w:rPr>
      </w:r>
    </w:p>
    <w:p w:rsidR="00000000" w:rsidDel="00000000" w:rsidP="00000000" w:rsidRDefault="00000000" w:rsidRPr="00000000" w14:paraId="00000001">
      <w:pPr>
        <w:contextualSpacing w:val="0"/>
        <w:jc w:val="center"/>
        <w:rPr/>
      </w:pPr>
      <w:hyperlink r:id="rId6">
        <w:r w:rsidDel="00000000" w:rsidR="00000000" w:rsidRPr="00000000">
          <w:rPr>
            <w:color w:val="1155cc"/>
            <w:u w:val="single"/>
            <w:rtl w:val="0"/>
          </w:rPr>
          <w:t xml:space="preserve">https://www.educause.edu/eli/initiatives/learning-space-rating-system</w:t>
        </w:r>
      </w:hyperlink>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48" w:lineRule="auto"/>
        <w:contextualSpacing w:val="0"/>
        <w:rPr>
          <w:color w:val="2e2e2e"/>
          <w:sz w:val="24"/>
          <w:szCs w:val="24"/>
        </w:rPr>
      </w:pPr>
      <w:r w:rsidDel="00000000" w:rsidR="00000000" w:rsidRPr="00000000">
        <w:rPr>
          <w:color w:val="2e2e2e"/>
          <w:sz w:val="24"/>
          <w:szCs w:val="24"/>
          <w:rtl w:val="0"/>
        </w:rPr>
        <w:t xml:space="preserve">The LSRS enables institutions not only to examine the effectiveness of their own facilities but also to benchmark their environments against best practices within the higher education community, and thereby enable all to advocate for more effective learning spaces.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48" w:lineRule="auto"/>
        <w:contextualSpacing w:val="0"/>
        <w:rPr>
          <w:b w:val="1"/>
          <w:color w:val="2e2e2e"/>
          <w:sz w:val="24"/>
          <w:szCs w:val="24"/>
        </w:rPr>
      </w:pPr>
      <w:r w:rsidDel="00000000" w:rsidR="00000000" w:rsidRPr="00000000">
        <w:rPr>
          <w:b w:val="1"/>
          <w:color w:val="2e2e2e"/>
          <w:sz w:val="24"/>
          <w:szCs w:val="24"/>
          <w:rtl w:val="0"/>
        </w:rPr>
        <w:t xml:space="preserve">The LSRS is intended to</w:t>
      </w:r>
    </w:p>
    <w:p w:rsidR="00000000" w:rsidDel="00000000" w:rsidP="00000000" w:rsidRDefault="00000000" w:rsidRPr="00000000" w14:paraId="00000005">
      <w:pPr>
        <w:numPr>
          <w:ilvl w:val="0"/>
          <w:numId w:val="4"/>
        </w:numPr>
        <w:spacing w:line="348" w:lineRule="auto"/>
        <w:ind w:left="720" w:hanging="360"/>
        <w:contextualSpacing w:val="1"/>
        <w:rPr/>
      </w:pPr>
      <w:r w:rsidDel="00000000" w:rsidR="00000000" w:rsidRPr="00000000">
        <w:rPr>
          <w:color w:val="2e2e2e"/>
          <w:sz w:val="24"/>
          <w:szCs w:val="24"/>
          <w:rtl w:val="0"/>
        </w:rPr>
        <w:t xml:space="preserve">guide the planning and design of learning spaces,</w:t>
      </w:r>
    </w:p>
    <w:p w:rsidR="00000000" w:rsidDel="00000000" w:rsidP="00000000" w:rsidRDefault="00000000" w:rsidRPr="00000000" w14:paraId="00000006">
      <w:pPr>
        <w:numPr>
          <w:ilvl w:val="0"/>
          <w:numId w:val="4"/>
        </w:numPr>
        <w:spacing w:line="348" w:lineRule="auto"/>
        <w:ind w:left="720" w:hanging="360"/>
        <w:contextualSpacing w:val="1"/>
        <w:rPr/>
      </w:pPr>
      <w:r w:rsidDel="00000000" w:rsidR="00000000" w:rsidRPr="00000000">
        <w:rPr>
          <w:color w:val="2e2e2e"/>
          <w:sz w:val="24"/>
          <w:szCs w:val="24"/>
          <w:rtl w:val="0"/>
        </w:rPr>
        <w:t xml:space="preserve">objectively measure a design's strength to support active learning,</w:t>
      </w:r>
    </w:p>
    <w:p w:rsidR="00000000" w:rsidDel="00000000" w:rsidP="00000000" w:rsidRDefault="00000000" w:rsidRPr="00000000" w14:paraId="00000007">
      <w:pPr>
        <w:numPr>
          <w:ilvl w:val="0"/>
          <w:numId w:val="4"/>
        </w:numPr>
        <w:spacing w:line="348" w:lineRule="auto"/>
        <w:ind w:left="720" w:hanging="360"/>
        <w:contextualSpacing w:val="1"/>
        <w:rPr/>
      </w:pPr>
      <w:r w:rsidDel="00000000" w:rsidR="00000000" w:rsidRPr="00000000">
        <w:rPr>
          <w:color w:val="2e2e2e"/>
          <w:sz w:val="24"/>
          <w:szCs w:val="24"/>
          <w:rtl w:val="0"/>
        </w:rPr>
        <w:t xml:space="preserve">assist in assessing the performance of learning spaces once in use, and</w:t>
      </w:r>
    </w:p>
    <w:p w:rsidR="00000000" w:rsidDel="00000000" w:rsidP="00000000" w:rsidRDefault="00000000" w:rsidRPr="00000000" w14:paraId="00000008">
      <w:pPr>
        <w:numPr>
          <w:ilvl w:val="0"/>
          <w:numId w:val="4"/>
        </w:numPr>
        <w:spacing w:line="348" w:lineRule="auto"/>
        <w:ind w:left="720" w:hanging="360"/>
        <w:contextualSpacing w:val="1"/>
        <w:rPr/>
      </w:pPr>
      <w:r w:rsidDel="00000000" w:rsidR="00000000" w:rsidRPr="00000000">
        <w:rPr>
          <w:color w:val="2e2e2e"/>
          <w:sz w:val="24"/>
          <w:szCs w:val="24"/>
          <w:rtl w:val="0"/>
        </w:rPr>
        <w:t xml:space="preserve">provide a guide to adapting existing spaces to institutional need.</w:t>
      </w:r>
    </w:p>
    <w:p w:rsidR="00000000" w:rsidDel="00000000" w:rsidP="00000000" w:rsidRDefault="00000000" w:rsidRPr="00000000" w14:paraId="00000009">
      <w:pPr>
        <w:pStyle w:val="Heading3"/>
        <w:contextualSpacing w:val="0"/>
        <w:rPr/>
      </w:pPr>
      <w:bookmarkStart w:colFirst="0" w:colLast="0" w:name="_ffccdreh3pzb" w:id="0"/>
      <w:bookmarkEnd w:id="0"/>
      <w:r w:rsidDel="00000000" w:rsidR="00000000" w:rsidRPr="00000000">
        <w:rPr>
          <w:rtl w:val="0"/>
        </w:rPr>
        <w:t xml:space="preserve">Part A: Campus Context, Planning, and Support Considerations</w:t>
      </w:r>
    </w:p>
    <w:p w:rsidR="00000000" w:rsidDel="00000000" w:rsidP="00000000" w:rsidRDefault="00000000" w:rsidRPr="00000000" w14:paraId="0000000A">
      <w:pPr>
        <w:numPr>
          <w:ilvl w:val="0"/>
          <w:numId w:val="3"/>
        </w:numPr>
        <w:ind w:left="720" w:hanging="360"/>
        <w:contextualSpacing w:val="1"/>
        <w:rPr>
          <w:b w:val="1"/>
          <w:color w:val="2e2e2e"/>
          <w:sz w:val="24"/>
          <w:szCs w:val="24"/>
        </w:rPr>
      </w:pPr>
      <w:r w:rsidDel="00000000" w:rsidR="00000000" w:rsidRPr="00000000">
        <w:rPr>
          <w:b w:val="1"/>
          <w:color w:val="2e2e2e"/>
          <w:sz w:val="24"/>
          <w:szCs w:val="24"/>
          <w:rtl w:val="0"/>
        </w:rPr>
        <w:t xml:space="preserve">Section 1: Integration with Campus Context: </w:t>
      </w:r>
    </w:p>
    <w:p w:rsidR="00000000" w:rsidDel="00000000" w:rsidP="00000000" w:rsidRDefault="00000000" w:rsidRPr="00000000" w14:paraId="0000000B">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Alignment with Campus Academic Strategy</w:t>
      </w:r>
    </w:p>
    <w:p w:rsidR="00000000" w:rsidDel="00000000" w:rsidP="00000000" w:rsidRDefault="00000000" w:rsidRPr="00000000" w14:paraId="0000000C">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Learning Space Master Plan</w:t>
      </w:r>
    </w:p>
    <w:p w:rsidR="00000000" w:rsidDel="00000000" w:rsidP="00000000" w:rsidRDefault="00000000" w:rsidRPr="00000000" w14:paraId="0000000D">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Compatibility with IT Infrastructure and Plans</w:t>
      </w:r>
    </w:p>
    <w:p w:rsidR="00000000" w:rsidDel="00000000" w:rsidP="00000000" w:rsidRDefault="00000000" w:rsidRPr="00000000" w14:paraId="0000000E">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Commitment to Evidence-Based Research and Assessment</w:t>
      </w:r>
    </w:p>
    <w:p w:rsidR="00000000" w:rsidDel="00000000" w:rsidP="00000000" w:rsidRDefault="00000000" w:rsidRPr="00000000" w14:paraId="0000000F">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Campus Leadership for Learning Spaces</w:t>
      </w:r>
    </w:p>
    <w:p w:rsidR="00000000" w:rsidDel="00000000" w:rsidP="00000000" w:rsidRDefault="00000000" w:rsidRPr="00000000" w14:paraId="00000010">
      <w:pPr>
        <w:numPr>
          <w:ilvl w:val="0"/>
          <w:numId w:val="3"/>
        </w:numPr>
        <w:ind w:left="720" w:hanging="360"/>
        <w:contextualSpacing w:val="1"/>
        <w:rPr>
          <w:b w:val="1"/>
          <w:color w:val="2e2e2e"/>
          <w:sz w:val="24"/>
          <w:szCs w:val="24"/>
        </w:rPr>
      </w:pPr>
      <w:r w:rsidDel="00000000" w:rsidR="00000000" w:rsidRPr="00000000">
        <w:rPr>
          <w:b w:val="1"/>
          <w:color w:val="2e2e2e"/>
          <w:sz w:val="24"/>
          <w:szCs w:val="24"/>
          <w:rtl w:val="0"/>
        </w:rPr>
        <w:t xml:space="preserve">Section 2: Planning and Design Process</w:t>
      </w:r>
    </w:p>
    <w:p w:rsidR="00000000" w:rsidDel="00000000" w:rsidP="00000000" w:rsidRDefault="00000000" w:rsidRPr="00000000" w14:paraId="00000011">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Stakeholder Engagement</w:t>
      </w:r>
    </w:p>
    <w:p w:rsidR="00000000" w:rsidDel="00000000" w:rsidP="00000000" w:rsidRDefault="00000000" w:rsidRPr="00000000" w14:paraId="00000012">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Evidence-Based Planning and Design</w:t>
      </w:r>
    </w:p>
    <w:p w:rsidR="00000000" w:rsidDel="00000000" w:rsidP="00000000" w:rsidRDefault="00000000" w:rsidRPr="00000000" w14:paraId="00000013">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Pilots and Prototypes</w:t>
      </w:r>
    </w:p>
    <w:p w:rsidR="00000000" w:rsidDel="00000000" w:rsidP="00000000" w:rsidRDefault="00000000" w:rsidRPr="00000000" w14:paraId="00000014">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Evaluation Plan</w:t>
      </w:r>
    </w:p>
    <w:p w:rsidR="00000000" w:rsidDel="00000000" w:rsidP="00000000" w:rsidRDefault="00000000" w:rsidRPr="00000000" w14:paraId="00000015">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Dissemination of Findings</w:t>
      </w:r>
    </w:p>
    <w:p w:rsidR="00000000" w:rsidDel="00000000" w:rsidP="00000000" w:rsidRDefault="00000000" w:rsidRPr="00000000" w14:paraId="00000016">
      <w:pPr>
        <w:numPr>
          <w:ilvl w:val="0"/>
          <w:numId w:val="3"/>
        </w:numPr>
        <w:ind w:left="720" w:hanging="360"/>
        <w:contextualSpacing w:val="1"/>
        <w:rPr>
          <w:b w:val="1"/>
          <w:color w:val="2e2e2e"/>
          <w:sz w:val="24"/>
          <w:szCs w:val="24"/>
        </w:rPr>
      </w:pPr>
      <w:r w:rsidDel="00000000" w:rsidR="00000000" w:rsidRPr="00000000">
        <w:rPr>
          <w:b w:val="1"/>
          <w:color w:val="2e2e2e"/>
          <w:sz w:val="24"/>
          <w:szCs w:val="24"/>
          <w:rtl w:val="0"/>
        </w:rPr>
        <w:t xml:space="preserve">Section 3: Support and Operations</w:t>
      </w:r>
    </w:p>
    <w:p w:rsidR="00000000" w:rsidDel="00000000" w:rsidP="00000000" w:rsidRDefault="00000000" w:rsidRPr="00000000" w14:paraId="00000017">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Support</w:t>
      </w:r>
    </w:p>
    <w:p w:rsidR="00000000" w:rsidDel="00000000" w:rsidP="00000000" w:rsidRDefault="00000000" w:rsidRPr="00000000" w14:paraId="00000018">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Space Orientation and Training</w:t>
      </w:r>
    </w:p>
    <w:p w:rsidR="00000000" w:rsidDel="00000000" w:rsidP="00000000" w:rsidRDefault="00000000" w:rsidRPr="00000000" w14:paraId="00000019">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Training of Support Team</w:t>
      </w:r>
    </w:p>
    <w:p w:rsidR="00000000" w:rsidDel="00000000" w:rsidP="00000000" w:rsidRDefault="00000000" w:rsidRPr="00000000" w14:paraId="0000001A">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Faculty/Instructor Development</w:t>
      </w:r>
    </w:p>
    <w:p w:rsidR="00000000" w:rsidDel="00000000" w:rsidP="00000000" w:rsidRDefault="00000000" w:rsidRPr="00000000" w14:paraId="0000001B">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Financial Sustainability of Operations</w:t>
      </w:r>
    </w:p>
    <w:p w:rsidR="00000000" w:rsidDel="00000000" w:rsidP="00000000" w:rsidRDefault="00000000" w:rsidRPr="00000000" w14:paraId="0000001C">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Scheduling Systems</w:t>
      </w:r>
    </w:p>
    <w:p w:rsidR="00000000" w:rsidDel="00000000" w:rsidP="00000000" w:rsidRDefault="00000000" w:rsidRPr="00000000" w14:paraId="0000001D">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Diverse Patterns of Use</w:t>
      </w:r>
      <w:r w:rsidDel="00000000" w:rsidR="00000000" w:rsidRPr="00000000">
        <w:rPr>
          <w:rtl w:val="0"/>
        </w:rPr>
      </w:r>
    </w:p>
    <w:p w:rsidR="00000000" w:rsidDel="00000000" w:rsidP="00000000" w:rsidRDefault="00000000" w:rsidRPr="00000000" w14:paraId="0000001E">
      <w:pPr>
        <w:pStyle w:val="Heading3"/>
        <w:contextualSpacing w:val="0"/>
        <w:rPr/>
      </w:pPr>
      <w:bookmarkStart w:colFirst="0" w:colLast="0" w:name="_ds4bgzp16w72" w:id="1"/>
      <w:bookmarkEnd w:id="1"/>
      <w:r w:rsidDel="00000000" w:rsidR="00000000" w:rsidRPr="00000000">
        <w:rPr>
          <w:rtl w:val="0"/>
        </w:rPr>
        <w:t xml:space="preserve">Part B: Environment, Furnishings, Layout, and Technology</w:t>
      </w:r>
    </w:p>
    <w:p w:rsidR="00000000" w:rsidDel="00000000" w:rsidP="00000000" w:rsidRDefault="00000000" w:rsidRPr="00000000" w14:paraId="0000001F">
      <w:pPr>
        <w:numPr>
          <w:ilvl w:val="0"/>
          <w:numId w:val="3"/>
        </w:numPr>
        <w:ind w:left="720" w:hanging="360"/>
        <w:contextualSpacing w:val="1"/>
        <w:rPr>
          <w:b w:val="1"/>
          <w:color w:val="2e2e2e"/>
          <w:sz w:val="24"/>
          <w:szCs w:val="24"/>
        </w:rPr>
      </w:pPr>
      <w:r w:rsidDel="00000000" w:rsidR="00000000" w:rsidRPr="00000000">
        <w:rPr>
          <w:b w:val="1"/>
          <w:color w:val="2e2e2e"/>
          <w:sz w:val="24"/>
          <w:szCs w:val="24"/>
          <w:rtl w:val="0"/>
        </w:rPr>
        <w:t xml:space="preserve">Section 4: Environmental Quality</w:t>
      </w:r>
    </w:p>
    <w:p w:rsidR="00000000" w:rsidDel="00000000" w:rsidP="00000000" w:rsidRDefault="00000000" w:rsidRPr="00000000" w14:paraId="00000020">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Daylight</w:t>
      </w:r>
    </w:p>
    <w:p w:rsidR="00000000" w:rsidDel="00000000" w:rsidP="00000000" w:rsidRDefault="00000000" w:rsidRPr="00000000" w14:paraId="00000021">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Views to Outdoors</w:t>
      </w:r>
    </w:p>
    <w:p w:rsidR="00000000" w:rsidDel="00000000" w:rsidP="00000000" w:rsidRDefault="00000000" w:rsidRPr="00000000" w14:paraId="00000022">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Interior Visibility</w:t>
      </w:r>
    </w:p>
    <w:p w:rsidR="00000000" w:rsidDel="00000000" w:rsidP="00000000" w:rsidRDefault="00000000" w:rsidRPr="00000000" w14:paraId="00000023">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Lighting Control</w:t>
      </w:r>
    </w:p>
    <w:p w:rsidR="00000000" w:rsidDel="00000000" w:rsidP="00000000" w:rsidRDefault="00000000" w:rsidRPr="00000000" w14:paraId="00000024">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Thermal Comfort</w:t>
      </w:r>
    </w:p>
    <w:p w:rsidR="00000000" w:rsidDel="00000000" w:rsidP="00000000" w:rsidRDefault="00000000" w:rsidRPr="00000000" w14:paraId="00000025">
      <w:pPr>
        <w:numPr>
          <w:ilvl w:val="1"/>
          <w:numId w:val="3"/>
        </w:numPr>
        <w:ind w:left="1440" w:hanging="360"/>
        <w:contextualSpacing w:val="1"/>
        <w:rPr>
          <w:color w:val="2e2e2e"/>
          <w:sz w:val="24"/>
          <w:szCs w:val="24"/>
          <w:highlight w:val="yellow"/>
        </w:rPr>
      </w:pPr>
      <w:r w:rsidDel="00000000" w:rsidR="00000000" w:rsidRPr="00000000">
        <w:rPr>
          <w:color w:val="2e2e2e"/>
          <w:sz w:val="24"/>
          <w:szCs w:val="24"/>
          <w:highlight w:val="yellow"/>
          <w:rtl w:val="0"/>
        </w:rPr>
        <w:t xml:space="preserve">Acoustic Quality</w:t>
      </w:r>
    </w:p>
    <w:p w:rsidR="00000000" w:rsidDel="00000000" w:rsidP="00000000" w:rsidRDefault="00000000" w:rsidRPr="00000000" w14:paraId="00000026">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Environmental and Cultural Inclusiveness</w:t>
      </w:r>
    </w:p>
    <w:p w:rsidR="00000000" w:rsidDel="00000000" w:rsidP="00000000" w:rsidRDefault="00000000" w:rsidRPr="00000000" w14:paraId="00000027">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Accessibility and Universal Design</w:t>
      </w:r>
    </w:p>
    <w:p w:rsidR="00000000" w:rsidDel="00000000" w:rsidP="00000000" w:rsidRDefault="00000000" w:rsidRPr="00000000" w14:paraId="00000028">
      <w:pPr>
        <w:numPr>
          <w:ilvl w:val="0"/>
          <w:numId w:val="3"/>
        </w:numPr>
        <w:ind w:left="720" w:hanging="360"/>
        <w:contextualSpacing w:val="1"/>
        <w:rPr>
          <w:b w:val="1"/>
          <w:color w:val="2e2e2e"/>
          <w:sz w:val="24"/>
          <w:szCs w:val="24"/>
        </w:rPr>
      </w:pPr>
      <w:r w:rsidDel="00000000" w:rsidR="00000000" w:rsidRPr="00000000">
        <w:rPr>
          <w:b w:val="1"/>
          <w:color w:val="2e2e2e"/>
          <w:sz w:val="24"/>
          <w:szCs w:val="24"/>
          <w:rtl w:val="0"/>
        </w:rPr>
        <w:t xml:space="preserve">Section 5: Layout and Furnishings</w:t>
      </w:r>
    </w:p>
    <w:p w:rsidR="00000000" w:rsidDel="00000000" w:rsidP="00000000" w:rsidRDefault="00000000" w:rsidRPr="00000000" w14:paraId="00000029">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Proximities within Space</w:t>
      </w:r>
    </w:p>
    <w:p w:rsidR="00000000" w:rsidDel="00000000" w:rsidP="00000000" w:rsidRDefault="00000000" w:rsidRPr="00000000" w14:paraId="0000002A">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Movement through Space</w:t>
      </w:r>
    </w:p>
    <w:p w:rsidR="00000000" w:rsidDel="00000000" w:rsidP="00000000" w:rsidRDefault="00000000" w:rsidRPr="00000000" w14:paraId="0000002B">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Seating Density</w:t>
      </w:r>
    </w:p>
    <w:p w:rsidR="00000000" w:rsidDel="00000000" w:rsidP="00000000" w:rsidRDefault="00000000" w:rsidRPr="00000000" w14:paraId="0000002C">
      <w:pPr>
        <w:numPr>
          <w:ilvl w:val="1"/>
          <w:numId w:val="3"/>
        </w:numPr>
        <w:ind w:left="1440" w:hanging="360"/>
        <w:contextualSpacing w:val="1"/>
        <w:rPr>
          <w:color w:val="2e2e2e"/>
          <w:sz w:val="24"/>
          <w:szCs w:val="24"/>
          <w:highlight w:val="yellow"/>
        </w:rPr>
      </w:pPr>
      <w:r w:rsidDel="00000000" w:rsidR="00000000" w:rsidRPr="00000000">
        <w:rPr>
          <w:color w:val="2e2e2e"/>
          <w:sz w:val="24"/>
          <w:szCs w:val="24"/>
          <w:highlight w:val="yellow"/>
          <w:rtl w:val="0"/>
        </w:rPr>
        <w:t xml:space="preserve">Furniture Configuration Flexibility</w:t>
      </w:r>
    </w:p>
    <w:p w:rsidR="00000000" w:rsidDel="00000000" w:rsidP="00000000" w:rsidRDefault="00000000" w:rsidRPr="00000000" w14:paraId="0000002D">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Work Surfaces</w:t>
      </w:r>
    </w:p>
    <w:p w:rsidR="00000000" w:rsidDel="00000000" w:rsidP="00000000" w:rsidRDefault="00000000" w:rsidRPr="00000000" w14:paraId="0000002E">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Seating Comfort</w:t>
      </w:r>
    </w:p>
    <w:p w:rsidR="00000000" w:rsidDel="00000000" w:rsidP="00000000" w:rsidRDefault="00000000" w:rsidRPr="00000000" w14:paraId="0000002F">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Movable Partitions</w:t>
      </w:r>
    </w:p>
    <w:p w:rsidR="00000000" w:rsidDel="00000000" w:rsidP="00000000" w:rsidRDefault="00000000" w:rsidRPr="00000000" w14:paraId="00000030">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Transparency</w:t>
      </w:r>
    </w:p>
    <w:p w:rsidR="00000000" w:rsidDel="00000000" w:rsidP="00000000" w:rsidRDefault="00000000" w:rsidRPr="00000000" w14:paraId="00000031">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Access to Adjacent Informal Learning Areas</w:t>
      </w:r>
    </w:p>
    <w:p w:rsidR="00000000" w:rsidDel="00000000" w:rsidP="00000000" w:rsidRDefault="00000000" w:rsidRPr="00000000" w14:paraId="00000032">
      <w:pPr>
        <w:numPr>
          <w:ilvl w:val="1"/>
          <w:numId w:val="3"/>
        </w:numPr>
        <w:ind w:left="1440" w:hanging="360"/>
        <w:contextualSpacing w:val="1"/>
        <w:rPr>
          <w:color w:val="2e2e2e"/>
          <w:sz w:val="24"/>
          <w:szCs w:val="24"/>
          <w:highlight w:val="yellow"/>
        </w:rPr>
      </w:pPr>
      <w:r w:rsidDel="00000000" w:rsidR="00000000" w:rsidRPr="00000000">
        <w:rPr>
          <w:color w:val="2e2e2e"/>
          <w:sz w:val="24"/>
          <w:szCs w:val="24"/>
          <w:highlight w:val="yellow"/>
          <w:rtl w:val="0"/>
        </w:rPr>
        <w:t xml:space="preserve">Writable Surfaces</w:t>
      </w:r>
    </w:p>
    <w:p w:rsidR="00000000" w:rsidDel="00000000" w:rsidP="00000000" w:rsidRDefault="00000000" w:rsidRPr="00000000" w14:paraId="00000033">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Physical Storage</w:t>
      </w:r>
    </w:p>
    <w:p w:rsidR="00000000" w:rsidDel="00000000" w:rsidP="00000000" w:rsidRDefault="00000000" w:rsidRPr="00000000" w14:paraId="00000034">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Future Proofing</w:t>
      </w:r>
    </w:p>
    <w:p w:rsidR="00000000" w:rsidDel="00000000" w:rsidP="00000000" w:rsidRDefault="00000000" w:rsidRPr="00000000" w14:paraId="00000035">
      <w:pPr>
        <w:numPr>
          <w:ilvl w:val="0"/>
          <w:numId w:val="3"/>
        </w:numPr>
        <w:ind w:left="720" w:hanging="360"/>
        <w:contextualSpacing w:val="1"/>
        <w:rPr>
          <w:b w:val="1"/>
          <w:color w:val="2e2e2e"/>
          <w:sz w:val="24"/>
          <w:szCs w:val="24"/>
        </w:rPr>
      </w:pPr>
      <w:r w:rsidDel="00000000" w:rsidR="00000000" w:rsidRPr="00000000">
        <w:rPr>
          <w:b w:val="1"/>
          <w:color w:val="2e2e2e"/>
          <w:sz w:val="24"/>
          <w:szCs w:val="24"/>
          <w:rtl w:val="0"/>
        </w:rPr>
        <w:t xml:space="preserve">Section 6: Technology and Tools</w:t>
      </w:r>
    </w:p>
    <w:p w:rsidR="00000000" w:rsidDel="00000000" w:rsidP="00000000" w:rsidRDefault="00000000" w:rsidRPr="00000000" w14:paraId="00000036">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Electrical Power</w:t>
      </w:r>
    </w:p>
    <w:p w:rsidR="00000000" w:rsidDel="00000000" w:rsidP="00000000" w:rsidRDefault="00000000" w:rsidRPr="00000000" w14:paraId="00000037">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Network Connectivity</w:t>
      </w:r>
    </w:p>
    <w:p w:rsidR="00000000" w:rsidDel="00000000" w:rsidP="00000000" w:rsidRDefault="00000000" w:rsidRPr="00000000" w14:paraId="00000038">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Visual Displays</w:t>
      </w:r>
    </w:p>
    <w:p w:rsidR="00000000" w:rsidDel="00000000" w:rsidP="00000000" w:rsidRDefault="00000000" w:rsidRPr="00000000" w14:paraId="00000039">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Sound Amplification</w:t>
      </w:r>
    </w:p>
    <w:p w:rsidR="00000000" w:rsidDel="00000000" w:rsidP="00000000" w:rsidRDefault="00000000" w:rsidRPr="00000000" w14:paraId="0000003A">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Audio/Visual Interface and Control</w:t>
      </w:r>
    </w:p>
    <w:p w:rsidR="00000000" w:rsidDel="00000000" w:rsidP="00000000" w:rsidRDefault="00000000" w:rsidRPr="00000000" w14:paraId="0000003B">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Distributed Interactivity</w:t>
      </w:r>
    </w:p>
    <w:p w:rsidR="00000000" w:rsidDel="00000000" w:rsidP="00000000" w:rsidRDefault="00000000" w:rsidRPr="00000000" w14:paraId="0000003C">
      <w:pPr>
        <w:numPr>
          <w:ilvl w:val="1"/>
          <w:numId w:val="3"/>
        </w:numPr>
        <w:ind w:left="1440" w:hanging="360"/>
        <w:contextualSpacing w:val="1"/>
        <w:rPr>
          <w:color w:val="2e2e2e"/>
          <w:sz w:val="24"/>
          <w:szCs w:val="24"/>
          <w:u w:val="none"/>
        </w:rPr>
      </w:pPr>
      <w:r w:rsidDel="00000000" w:rsidR="00000000" w:rsidRPr="00000000">
        <w:rPr>
          <w:color w:val="2e2e2e"/>
          <w:sz w:val="24"/>
          <w:szCs w:val="24"/>
          <w:rtl w:val="0"/>
        </w:rPr>
        <w:t xml:space="preserve">Session Capture and Access</w:t>
      </w: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pStyle w:val="Heading1"/>
        <w:contextualSpacing w:val="0"/>
        <w:jc w:val="center"/>
        <w:rPr/>
      </w:pPr>
      <w:bookmarkStart w:colFirst="0" w:colLast="0" w:name="_bmazent7lzsr" w:id="2"/>
      <w:bookmarkEnd w:id="2"/>
      <w:r w:rsidDel="00000000" w:rsidR="00000000" w:rsidRPr="00000000">
        <w:rPr>
          <w:rtl w:val="0"/>
        </w:rPr>
        <w:t xml:space="preserve">Examples </w:t>
      </w:r>
    </w:p>
    <w:p w:rsidR="00000000" w:rsidDel="00000000" w:rsidP="00000000" w:rsidRDefault="00000000" w:rsidRPr="00000000" w14:paraId="0000003F">
      <w:pPr>
        <w:pStyle w:val="Heading3"/>
        <w:contextualSpacing w:val="0"/>
        <w:rPr/>
      </w:pPr>
      <w:bookmarkStart w:colFirst="0" w:colLast="0" w:name="_mk1i9yf1qe4g" w:id="3"/>
      <w:bookmarkEnd w:id="3"/>
      <w:r w:rsidDel="00000000" w:rsidR="00000000" w:rsidRPr="00000000">
        <w:rPr>
          <w:rtl w:val="0"/>
        </w:rPr>
        <w:t xml:space="preserve">Section 5.4: </w:t>
      </w:r>
      <w:r w:rsidDel="00000000" w:rsidR="00000000" w:rsidRPr="00000000">
        <w:rPr>
          <w:b w:val="1"/>
          <w:rtl w:val="0"/>
        </w:rPr>
        <w:t xml:space="preserve">Layout and Furniture: </w:t>
      </w:r>
      <w:r w:rsidDel="00000000" w:rsidR="00000000" w:rsidRPr="00000000">
        <w:rPr>
          <w:rtl w:val="0"/>
        </w:rPr>
        <w:t xml:space="preserve">Furniture Configuration Flexibility </w:t>
      </w:r>
    </w:p>
    <w:p w:rsidR="00000000" w:rsidDel="00000000" w:rsidP="00000000" w:rsidRDefault="00000000" w:rsidRPr="00000000" w14:paraId="00000040">
      <w:pPr>
        <w:contextualSpacing w:val="0"/>
        <w:rPr>
          <w:sz w:val="20"/>
          <w:szCs w:val="20"/>
        </w:rPr>
      </w:pPr>
      <w:r w:rsidDel="00000000" w:rsidR="00000000" w:rsidRPr="00000000">
        <w:rPr>
          <w:b w:val="1"/>
          <w:sz w:val="20"/>
          <w:szCs w:val="20"/>
          <w:rtl w:val="0"/>
        </w:rPr>
        <w:t xml:space="preserve">Intent</w:t>
      </w:r>
      <w:r w:rsidDel="00000000" w:rsidR="00000000" w:rsidRPr="00000000">
        <w:rPr>
          <w:sz w:val="20"/>
          <w:szCs w:val="20"/>
          <w:rtl w:val="0"/>
        </w:rPr>
        <w:t xml:space="preserve">: To provide furniture that is easily movable and configurable to support a range of learning activities. </w:t>
      </w:r>
      <w:r w:rsidDel="00000000" w:rsidR="00000000" w:rsidRPr="00000000">
        <w:rPr>
          <w:i w:val="1"/>
          <w:sz w:val="20"/>
          <w:szCs w:val="20"/>
          <w:rtl w:val="0"/>
        </w:rPr>
        <w:t xml:space="preserve">1–3 points</w:t>
      </w:r>
      <w:r w:rsidDel="00000000" w:rsidR="00000000" w:rsidRPr="00000000">
        <w:rPr>
          <w:sz w:val="20"/>
          <w:szCs w:val="20"/>
          <w:rtl w:val="0"/>
        </w:rPr>
        <w:t xml:space="preserve"> </w:t>
      </w:r>
    </w:p>
    <w:p w:rsidR="00000000" w:rsidDel="00000000" w:rsidP="00000000" w:rsidRDefault="00000000" w:rsidRPr="00000000" w14:paraId="00000041">
      <w:pPr>
        <w:contextualSpacing w:val="0"/>
        <w:rPr>
          <w:sz w:val="20"/>
          <w:szCs w:val="20"/>
        </w:rPr>
      </w:pPr>
      <w:r w:rsidDel="00000000" w:rsidR="00000000" w:rsidRPr="00000000">
        <w:rPr>
          <w:rtl w:val="0"/>
        </w:rPr>
      </w:r>
    </w:p>
    <w:p w:rsidR="00000000" w:rsidDel="00000000" w:rsidP="00000000" w:rsidRDefault="00000000" w:rsidRPr="00000000" w14:paraId="00000042">
      <w:pPr>
        <w:contextualSpacing w:val="0"/>
        <w:rPr>
          <w:sz w:val="20"/>
          <w:szCs w:val="20"/>
        </w:rPr>
      </w:pPr>
      <w:r w:rsidDel="00000000" w:rsidR="00000000" w:rsidRPr="00000000">
        <w:rPr>
          <w:b w:val="1"/>
          <w:sz w:val="20"/>
          <w:szCs w:val="20"/>
          <w:rtl w:val="0"/>
        </w:rPr>
        <w:t xml:space="preserve">Criteria for the points:</w:t>
      </w:r>
      <w:r w:rsidDel="00000000" w:rsidR="00000000" w:rsidRPr="00000000">
        <w:rPr>
          <w:sz w:val="20"/>
          <w:szCs w:val="20"/>
          <w:rtl w:val="0"/>
        </w:rPr>
        <w:t xml:space="preserve"> To obtain 1 point, do the following: Provide movable chairs. </w:t>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To obtain an additional point, do the following: Provide movable tables. </w:t>
      </w:r>
    </w:p>
    <w:p w:rsidR="00000000" w:rsidDel="00000000" w:rsidP="00000000" w:rsidRDefault="00000000" w:rsidRPr="00000000" w14:paraId="00000044">
      <w:pPr>
        <w:contextualSpacing w:val="0"/>
        <w:rPr>
          <w:sz w:val="20"/>
          <w:szCs w:val="20"/>
        </w:rPr>
      </w:pPr>
      <w:r w:rsidDel="00000000" w:rsidR="00000000" w:rsidRPr="00000000">
        <w:rPr>
          <w:sz w:val="20"/>
          <w:szCs w:val="20"/>
          <w:rtl w:val="0"/>
        </w:rPr>
        <w:t xml:space="preserve">To obtain an additional point, do the following: Provide stackable/nestable chairs and/or tables. </w:t>
      </w:r>
    </w:p>
    <w:p w:rsidR="00000000" w:rsidDel="00000000" w:rsidP="00000000" w:rsidRDefault="00000000" w:rsidRPr="00000000" w14:paraId="00000045">
      <w:pPr>
        <w:contextualSpacing w:val="0"/>
        <w:rPr>
          <w:sz w:val="20"/>
          <w:szCs w:val="20"/>
        </w:rPr>
      </w:pPr>
      <w:r w:rsidDel="00000000" w:rsidR="00000000" w:rsidRPr="00000000">
        <w:rPr>
          <w:rtl w:val="0"/>
        </w:rPr>
      </w:r>
    </w:p>
    <w:p w:rsidR="00000000" w:rsidDel="00000000" w:rsidP="00000000" w:rsidRDefault="00000000" w:rsidRPr="00000000" w14:paraId="00000046">
      <w:pPr>
        <w:contextualSpacing w:val="0"/>
        <w:rPr>
          <w:sz w:val="20"/>
          <w:szCs w:val="20"/>
        </w:rPr>
      </w:pPr>
      <w:r w:rsidDel="00000000" w:rsidR="00000000" w:rsidRPr="00000000">
        <w:rPr>
          <w:b w:val="1"/>
          <w:sz w:val="20"/>
          <w:szCs w:val="20"/>
          <w:rtl w:val="0"/>
        </w:rPr>
        <w:t xml:space="preserve">Evidence for this credit:</w:t>
      </w:r>
      <w:r w:rsidDel="00000000" w:rsidR="00000000" w:rsidRPr="00000000">
        <w:rPr>
          <w:sz w:val="20"/>
          <w:szCs w:val="20"/>
          <w:rtl w:val="0"/>
        </w:rPr>
        <w:t xml:space="preserve"> Provide furniture inventory and room layout(s). </w:t>
      </w:r>
    </w:p>
    <w:p w:rsidR="00000000" w:rsidDel="00000000" w:rsidP="00000000" w:rsidRDefault="00000000" w:rsidRPr="00000000" w14:paraId="00000047">
      <w:pPr>
        <w:contextualSpacing w:val="0"/>
        <w:rPr>
          <w:sz w:val="20"/>
          <w:szCs w:val="20"/>
        </w:rPr>
      </w:pPr>
      <w:r w:rsidDel="00000000" w:rsidR="00000000" w:rsidRPr="00000000">
        <w:rPr>
          <w:rtl w:val="0"/>
        </w:rPr>
      </w:r>
    </w:p>
    <w:p w:rsidR="00000000" w:rsidDel="00000000" w:rsidP="00000000" w:rsidRDefault="00000000" w:rsidRPr="00000000" w14:paraId="00000048">
      <w:pPr>
        <w:contextualSpacing w:val="0"/>
        <w:rPr>
          <w:b w:val="1"/>
          <w:sz w:val="20"/>
          <w:szCs w:val="20"/>
        </w:rPr>
      </w:pPr>
      <w:r w:rsidDel="00000000" w:rsidR="00000000" w:rsidRPr="00000000">
        <w:rPr>
          <w:b w:val="1"/>
          <w:sz w:val="20"/>
          <w:szCs w:val="20"/>
          <w:rtl w:val="0"/>
        </w:rPr>
        <w:t xml:space="preserve">Additional considerations:</w:t>
      </w:r>
    </w:p>
    <w:p w:rsidR="00000000" w:rsidDel="00000000" w:rsidP="00000000" w:rsidRDefault="00000000" w:rsidRPr="00000000" w14:paraId="00000049">
      <w:pPr>
        <w:numPr>
          <w:ilvl w:val="0"/>
          <w:numId w:val="5"/>
        </w:numPr>
        <w:ind w:left="720" w:hanging="360"/>
        <w:contextualSpacing w:val="1"/>
        <w:rPr>
          <w:sz w:val="20"/>
          <w:szCs w:val="20"/>
        </w:rPr>
      </w:pPr>
      <w:r w:rsidDel="00000000" w:rsidR="00000000" w:rsidRPr="00000000">
        <w:rPr>
          <w:sz w:val="20"/>
          <w:szCs w:val="20"/>
          <w:rtl w:val="0"/>
        </w:rPr>
        <w:t xml:space="preserve">Provide height-adjustable seating wherever possible. </w:t>
      </w:r>
    </w:p>
    <w:p w:rsidR="00000000" w:rsidDel="00000000" w:rsidP="00000000" w:rsidRDefault="00000000" w:rsidRPr="00000000" w14:paraId="0000004A">
      <w:pPr>
        <w:numPr>
          <w:ilvl w:val="0"/>
          <w:numId w:val="5"/>
        </w:numPr>
        <w:ind w:left="720" w:hanging="360"/>
        <w:contextualSpacing w:val="1"/>
        <w:rPr>
          <w:sz w:val="20"/>
          <w:szCs w:val="20"/>
        </w:rPr>
      </w:pPr>
      <w:r w:rsidDel="00000000" w:rsidR="00000000" w:rsidRPr="00000000">
        <w:rPr>
          <w:sz w:val="20"/>
          <w:szCs w:val="20"/>
          <w:rtl w:val="0"/>
        </w:rPr>
        <w:t xml:space="preserve">In lecture halls that have two rows (or collaborative tables) per tier or terrace, consider chairs that move and/or rotate so that participants can more easily collaborate. </w:t>
      </w:r>
    </w:p>
    <w:p w:rsidR="00000000" w:rsidDel="00000000" w:rsidP="00000000" w:rsidRDefault="00000000" w:rsidRPr="00000000" w14:paraId="0000004B">
      <w:pPr>
        <w:numPr>
          <w:ilvl w:val="0"/>
          <w:numId w:val="5"/>
        </w:numPr>
        <w:ind w:left="720" w:hanging="360"/>
        <w:contextualSpacing w:val="1"/>
        <w:rPr>
          <w:sz w:val="20"/>
          <w:szCs w:val="20"/>
        </w:rPr>
      </w:pPr>
      <w:r w:rsidDel="00000000" w:rsidR="00000000" w:rsidRPr="00000000">
        <w:rPr>
          <w:sz w:val="20"/>
          <w:szCs w:val="20"/>
          <w:rtl w:val="0"/>
        </w:rPr>
        <w:t xml:space="preserve">Podiums, when needed, should also be movable and/or removable. </w:t>
      </w:r>
    </w:p>
    <w:p w:rsidR="00000000" w:rsidDel="00000000" w:rsidP="00000000" w:rsidRDefault="00000000" w:rsidRPr="00000000" w14:paraId="0000004C">
      <w:pPr>
        <w:numPr>
          <w:ilvl w:val="0"/>
          <w:numId w:val="5"/>
        </w:numPr>
        <w:ind w:left="720" w:hanging="360"/>
        <w:contextualSpacing w:val="1"/>
        <w:rPr>
          <w:sz w:val="20"/>
          <w:szCs w:val="20"/>
        </w:rPr>
      </w:pPr>
      <w:r w:rsidDel="00000000" w:rsidR="00000000" w:rsidRPr="00000000">
        <w:rPr>
          <w:sz w:val="20"/>
          <w:szCs w:val="20"/>
          <w:rtl w:val="0"/>
        </w:rPr>
        <w:t xml:space="preserve">Nestable chairs may provide greater flexibility of layout options, but chairs on casters may be better ergonomically. </w:t>
      </w:r>
    </w:p>
    <w:p w:rsidR="00000000" w:rsidDel="00000000" w:rsidP="00000000" w:rsidRDefault="00000000" w:rsidRPr="00000000" w14:paraId="0000004D">
      <w:pPr>
        <w:pStyle w:val="Heading3"/>
        <w:contextualSpacing w:val="0"/>
        <w:rPr/>
      </w:pPr>
      <w:bookmarkStart w:colFirst="0" w:colLast="0" w:name="_6rxxcbyqvvpe" w:id="4"/>
      <w:bookmarkEnd w:id="4"/>
      <w:r w:rsidDel="00000000" w:rsidR="00000000" w:rsidRPr="00000000">
        <w:rPr>
          <w:rtl w:val="0"/>
        </w:rPr>
        <w:t xml:space="preserve">Section </w:t>
      </w:r>
      <w:r w:rsidDel="00000000" w:rsidR="00000000" w:rsidRPr="00000000">
        <w:rPr>
          <w:rtl w:val="0"/>
        </w:rPr>
        <w:t xml:space="preserve">5.4</w:t>
      </w:r>
      <w:r w:rsidDel="00000000" w:rsidR="00000000" w:rsidRPr="00000000">
        <w:rPr>
          <w:rtl w:val="0"/>
        </w:rPr>
        <w:t xml:space="preserve">: </w:t>
      </w:r>
      <w:r w:rsidDel="00000000" w:rsidR="00000000" w:rsidRPr="00000000">
        <w:rPr>
          <w:b w:val="1"/>
          <w:rtl w:val="0"/>
        </w:rPr>
        <w:t xml:space="preserve">Layout and Furniture: </w:t>
      </w:r>
      <w:r w:rsidDel="00000000" w:rsidR="00000000" w:rsidRPr="00000000">
        <w:rPr>
          <w:rtl w:val="0"/>
        </w:rPr>
        <w:t xml:space="preserve">Writable Surfaces</w:t>
      </w:r>
      <w:r w:rsidDel="00000000" w:rsidR="00000000" w:rsidRPr="00000000">
        <w:rPr>
          <w:rtl w:val="0"/>
        </w:rPr>
        <w:t xml:space="preserve"> </w:t>
      </w:r>
    </w:p>
    <w:p w:rsidR="00000000" w:rsidDel="00000000" w:rsidP="00000000" w:rsidRDefault="00000000" w:rsidRPr="00000000" w14:paraId="0000004E">
      <w:pPr>
        <w:contextualSpacing w:val="0"/>
        <w:rPr>
          <w:sz w:val="20"/>
          <w:szCs w:val="20"/>
        </w:rPr>
      </w:pPr>
      <w:r w:rsidDel="00000000" w:rsidR="00000000" w:rsidRPr="00000000">
        <w:rPr>
          <w:b w:val="1"/>
          <w:sz w:val="20"/>
          <w:szCs w:val="20"/>
          <w:rtl w:val="0"/>
        </w:rPr>
        <w:t xml:space="preserve">Intent</w:t>
      </w:r>
      <w:r w:rsidDel="00000000" w:rsidR="00000000" w:rsidRPr="00000000">
        <w:rPr>
          <w:sz w:val="20"/>
          <w:szCs w:val="20"/>
          <w:rtl w:val="0"/>
        </w:rPr>
        <w:t xml:space="preserve">: To provide abundant writable surfaces to facilitate interaction for individuals and groups. </w:t>
      </w:r>
      <w:r w:rsidDel="00000000" w:rsidR="00000000" w:rsidRPr="00000000">
        <w:rPr>
          <w:i w:val="1"/>
          <w:sz w:val="20"/>
          <w:szCs w:val="20"/>
          <w:rtl w:val="0"/>
        </w:rPr>
        <w:t xml:space="preserve">1 point</w:t>
      </w: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rtl w:val="0"/>
        </w:rPr>
      </w:r>
    </w:p>
    <w:p w:rsidR="00000000" w:rsidDel="00000000" w:rsidP="00000000" w:rsidRDefault="00000000" w:rsidRPr="00000000" w14:paraId="00000050">
      <w:pPr>
        <w:contextualSpacing w:val="0"/>
        <w:rPr>
          <w:sz w:val="20"/>
          <w:szCs w:val="20"/>
        </w:rPr>
      </w:pPr>
      <w:r w:rsidDel="00000000" w:rsidR="00000000" w:rsidRPr="00000000">
        <w:rPr>
          <w:b w:val="1"/>
          <w:sz w:val="20"/>
          <w:szCs w:val="20"/>
          <w:rtl w:val="0"/>
        </w:rPr>
        <w:t xml:space="preserve">Criteria for the points:</w:t>
      </w:r>
      <w:r w:rsidDel="00000000" w:rsidR="00000000" w:rsidRPr="00000000">
        <w:rPr>
          <w:sz w:val="20"/>
          <w:szCs w:val="20"/>
          <w:rtl w:val="0"/>
        </w:rPr>
        <w:t xml:space="preserve"> Provide multiple surfaces/displays accessible to all participants on which they can write physically and/or digitally. </w:t>
      </w:r>
    </w:p>
    <w:p w:rsidR="00000000" w:rsidDel="00000000" w:rsidP="00000000" w:rsidRDefault="00000000" w:rsidRPr="00000000" w14:paraId="00000051">
      <w:pPr>
        <w:contextualSpacing w:val="0"/>
        <w:rPr>
          <w:sz w:val="20"/>
          <w:szCs w:val="20"/>
        </w:rPr>
      </w:pPr>
      <w:r w:rsidDel="00000000" w:rsidR="00000000" w:rsidRPr="00000000">
        <w:rPr>
          <w:rtl w:val="0"/>
        </w:rPr>
      </w:r>
    </w:p>
    <w:p w:rsidR="00000000" w:rsidDel="00000000" w:rsidP="00000000" w:rsidRDefault="00000000" w:rsidRPr="00000000" w14:paraId="00000052">
      <w:pPr>
        <w:contextualSpacing w:val="0"/>
        <w:rPr>
          <w:sz w:val="20"/>
          <w:szCs w:val="20"/>
        </w:rPr>
      </w:pPr>
      <w:r w:rsidDel="00000000" w:rsidR="00000000" w:rsidRPr="00000000">
        <w:rPr>
          <w:b w:val="1"/>
          <w:sz w:val="20"/>
          <w:szCs w:val="20"/>
          <w:rtl w:val="0"/>
        </w:rPr>
        <w:t xml:space="preserve">Evidence for this credit:</w:t>
      </w:r>
      <w:r w:rsidDel="00000000" w:rsidR="00000000" w:rsidRPr="00000000">
        <w:rPr>
          <w:sz w:val="20"/>
          <w:szCs w:val="20"/>
          <w:rtl w:val="0"/>
        </w:rPr>
        <w:t xml:space="preserve"> Provide photographs of spaces.</w:t>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rPr>
          <w:b w:val="1"/>
          <w:sz w:val="20"/>
          <w:szCs w:val="20"/>
        </w:rPr>
      </w:pPr>
      <w:r w:rsidDel="00000000" w:rsidR="00000000" w:rsidRPr="00000000">
        <w:rPr>
          <w:b w:val="1"/>
          <w:sz w:val="20"/>
          <w:szCs w:val="20"/>
          <w:rtl w:val="0"/>
        </w:rPr>
        <w:t xml:space="preserve">Additional considerations:</w:t>
      </w:r>
    </w:p>
    <w:p w:rsidR="00000000" w:rsidDel="00000000" w:rsidP="00000000" w:rsidRDefault="00000000" w:rsidRPr="00000000" w14:paraId="00000055">
      <w:pPr>
        <w:numPr>
          <w:ilvl w:val="0"/>
          <w:numId w:val="5"/>
        </w:numPr>
        <w:ind w:left="720" w:hanging="360"/>
        <w:contextualSpacing w:val="1"/>
        <w:rPr>
          <w:sz w:val="20"/>
          <w:szCs w:val="20"/>
        </w:rPr>
      </w:pPr>
      <w:r w:rsidDel="00000000" w:rsidR="00000000" w:rsidRPr="00000000">
        <w:rPr>
          <w:sz w:val="20"/>
          <w:szCs w:val="20"/>
          <w:rtl w:val="0"/>
        </w:rPr>
        <w:t xml:space="preserve">Ensure that writable surfaces are not obstructed by pull-down screens or other objects so that they are always visible. </w:t>
      </w:r>
    </w:p>
    <w:p w:rsidR="00000000" w:rsidDel="00000000" w:rsidP="00000000" w:rsidRDefault="00000000" w:rsidRPr="00000000" w14:paraId="00000056">
      <w:pPr>
        <w:numPr>
          <w:ilvl w:val="0"/>
          <w:numId w:val="5"/>
        </w:numPr>
        <w:ind w:left="720" w:hanging="360"/>
        <w:contextualSpacing w:val="1"/>
        <w:rPr>
          <w:sz w:val="20"/>
          <w:szCs w:val="20"/>
        </w:rPr>
      </w:pPr>
      <w:r w:rsidDel="00000000" w:rsidR="00000000" w:rsidRPr="00000000">
        <w:rPr>
          <w:sz w:val="20"/>
          <w:szCs w:val="20"/>
          <w:rtl w:val="0"/>
        </w:rPr>
        <w:t xml:space="preserve">The intention is to provide as much surface to be writable as possible. Consider:  Surfaces that are both writable and projectable.  </w:t>
      </w:r>
    </w:p>
    <w:p w:rsidR="00000000" w:rsidDel="00000000" w:rsidP="00000000" w:rsidRDefault="00000000" w:rsidRPr="00000000" w14:paraId="00000057">
      <w:pPr>
        <w:numPr>
          <w:ilvl w:val="0"/>
          <w:numId w:val="5"/>
        </w:numPr>
        <w:ind w:left="720" w:hanging="360"/>
        <w:contextualSpacing w:val="1"/>
        <w:rPr>
          <w:sz w:val="20"/>
          <w:szCs w:val="20"/>
        </w:rPr>
      </w:pPr>
      <w:r w:rsidDel="00000000" w:rsidR="00000000" w:rsidRPr="00000000">
        <w:rPr>
          <w:sz w:val="20"/>
          <w:szCs w:val="20"/>
          <w:rtl w:val="0"/>
        </w:rPr>
        <w:t xml:space="preserve">Large, wall-mounted whiteboards/blackboards and/or flipcharts.  </w:t>
      </w:r>
    </w:p>
    <w:p w:rsidR="00000000" w:rsidDel="00000000" w:rsidP="00000000" w:rsidRDefault="00000000" w:rsidRPr="00000000" w14:paraId="00000058">
      <w:pPr>
        <w:numPr>
          <w:ilvl w:val="0"/>
          <w:numId w:val="5"/>
        </w:numPr>
        <w:ind w:left="720" w:hanging="360"/>
        <w:contextualSpacing w:val="1"/>
        <w:rPr>
          <w:sz w:val="20"/>
          <w:szCs w:val="20"/>
        </w:rPr>
      </w:pPr>
      <w:r w:rsidDel="00000000" w:rsidR="00000000" w:rsidRPr="00000000">
        <w:rPr>
          <w:sz w:val="20"/>
          <w:szCs w:val="20"/>
          <w:rtl w:val="0"/>
        </w:rPr>
        <w:t xml:space="preserve">Writable wall surfaces on one or multiple walls.  </w:t>
      </w:r>
    </w:p>
    <w:p w:rsidR="00000000" w:rsidDel="00000000" w:rsidP="00000000" w:rsidRDefault="00000000" w:rsidRPr="00000000" w14:paraId="00000059">
      <w:pPr>
        <w:numPr>
          <w:ilvl w:val="0"/>
          <w:numId w:val="5"/>
        </w:numPr>
        <w:ind w:left="720" w:hanging="360"/>
        <w:contextualSpacing w:val="1"/>
        <w:rPr>
          <w:sz w:val="20"/>
          <w:szCs w:val="20"/>
        </w:rPr>
      </w:pPr>
      <w:r w:rsidDel="00000000" w:rsidR="00000000" w:rsidRPr="00000000">
        <w:rPr>
          <w:sz w:val="20"/>
          <w:szCs w:val="20"/>
          <w:rtl w:val="0"/>
        </w:rPr>
        <w:t xml:space="preserve">Movable writable panels on casters or a wall/ceiling-mounted system.  </w:t>
      </w:r>
    </w:p>
    <w:p w:rsidR="00000000" w:rsidDel="00000000" w:rsidP="00000000" w:rsidRDefault="00000000" w:rsidRPr="00000000" w14:paraId="0000005A">
      <w:pPr>
        <w:numPr>
          <w:ilvl w:val="0"/>
          <w:numId w:val="5"/>
        </w:numPr>
        <w:ind w:left="720" w:hanging="360"/>
        <w:contextualSpacing w:val="1"/>
        <w:rPr>
          <w:sz w:val="20"/>
          <w:szCs w:val="20"/>
        </w:rPr>
      </w:pPr>
      <w:r w:rsidDel="00000000" w:rsidR="00000000" w:rsidRPr="00000000">
        <w:rPr>
          <w:sz w:val="20"/>
          <w:szCs w:val="20"/>
          <w:rtl w:val="0"/>
        </w:rPr>
        <w:t xml:space="preserve">Writable table surfaces (e.g., glass, whiteboard).  </w:t>
      </w:r>
    </w:p>
    <w:p w:rsidR="00000000" w:rsidDel="00000000" w:rsidP="00000000" w:rsidRDefault="00000000" w:rsidRPr="00000000" w14:paraId="0000005B">
      <w:pPr>
        <w:numPr>
          <w:ilvl w:val="0"/>
          <w:numId w:val="5"/>
        </w:numPr>
        <w:ind w:left="720" w:hanging="360"/>
        <w:contextualSpacing w:val="1"/>
        <w:rPr>
          <w:sz w:val="20"/>
          <w:szCs w:val="20"/>
        </w:rPr>
      </w:pPr>
      <w:r w:rsidDel="00000000" w:rsidR="00000000" w:rsidRPr="00000000">
        <w:rPr>
          <w:sz w:val="20"/>
          <w:szCs w:val="20"/>
          <w:rtl w:val="0"/>
        </w:rPr>
        <w:t xml:space="preserve">Digitally interactive table surfaces that enable writing with gestures and/or stylus. </w:t>
      </w:r>
    </w:p>
    <w:p w:rsidR="00000000" w:rsidDel="00000000" w:rsidP="00000000" w:rsidRDefault="00000000" w:rsidRPr="00000000" w14:paraId="0000005C">
      <w:pPr>
        <w:numPr>
          <w:ilvl w:val="0"/>
          <w:numId w:val="5"/>
        </w:numPr>
        <w:ind w:left="720" w:hanging="360"/>
        <w:contextualSpacing w:val="1"/>
        <w:rPr>
          <w:sz w:val="20"/>
          <w:szCs w:val="20"/>
        </w:rPr>
      </w:pPr>
      <w:r w:rsidDel="00000000" w:rsidR="00000000" w:rsidRPr="00000000">
        <w:rPr>
          <w:sz w:val="20"/>
          <w:szCs w:val="20"/>
          <w:rtl w:val="0"/>
        </w:rPr>
        <w:t xml:space="preserve">Where writable spaces are interspersed with nonwritable surfaces, it is helpful to indicate clearly which surfaces support erasable writing.</w:t>
      </w:r>
      <w:r w:rsidDel="00000000" w:rsidR="00000000" w:rsidRPr="00000000">
        <w:rPr>
          <w:rtl w:val="0"/>
        </w:rPr>
      </w:r>
    </w:p>
    <w:p w:rsidR="00000000" w:rsidDel="00000000" w:rsidP="00000000" w:rsidRDefault="00000000" w:rsidRPr="00000000" w14:paraId="0000005D">
      <w:pPr>
        <w:contextualSpacing w:val="0"/>
        <w:rPr>
          <w:sz w:val="20"/>
          <w:szCs w:val="2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rtl w:val="0"/>
        </w:rPr>
      </w:r>
    </w:p>
    <w:p w:rsidR="00000000" w:rsidDel="00000000" w:rsidP="00000000" w:rsidRDefault="00000000" w:rsidRPr="00000000" w14:paraId="0000005F">
      <w:pPr>
        <w:contextualSpacing w:val="0"/>
        <w:rPr>
          <w:sz w:val="20"/>
          <w:szCs w:val="20"/>
        </w:rPr>
      </w:pP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rtl w:val="0"/>
        </w:rPr>
      </w:r>
    </w:p>
    <w:p w:rsidR="00000000" w:rsidDel="00000000" w:rsidP="00000000" w:rsidRDefault="00000000" w:rsidRPr="00000000" w14:paraId="00000061">
      <w:pPr>
        <w:pStyle w:val="Heading3"/>
        <w:contextualSpacing w:val="0"/>
        <w:rPr/>
      </w:pPr>
      <w:bookmarkStart w:colFirst="0" w:colLast="0" w:name="_m9qtjl18vbdl" w:id="5"/>
      <w:bookmarkEnd w:id="5"/>
      <w:r w:rsidDel="00000000" w:rsidR="00000000" w:rsidRPr="00000000">
        <w:rPr>
          <w:rtl w:val="0"/>
        </w:rPr>
        <w:t xml:space="preserve">Section 4.6: </w:t>
      </w:r>
      <w:r w:rsidDel="00000000" w:rsidR="00000000" w:rsidRPr="00000000">
        <w:rPr>
          <w:b w:val="1"/>
          <w:rtl w:val="0"/>
        </w:rPr>
        <w:t xml:space="preserve">Environmental Quality: </w:t>
      </w:r>
      <w:r w:rsidDel="00000000" w:rsidR="00000000" w:rsidRPr="00000000">
        <w:rPr>
          <w:rtl w:val="0"/>
        </w:rPr>
        <w:t xml:space="preserve">Acoustics</w:t>
      </w:r>
      <w:r w:rsidDel="00000000" w:rsidR="00000000" w:rsidRPr="00000000">
        <w:rPr>
          <w:rtl w:val="0"/>
        </w:rPr>
      </w:r>
    </w:p>
    <w:p w:rsidR="00000000" w:rsidDel="00000000" w:rsidP="00000000" w:rsidRDefault="00000000" w:rsidRPr="00000000" w14:paraId="00000062">
      <w:pPr>
        <w:contextualSpacing w:val="0"/>
        <w:rPr>
          <w:sz w:val="20"/>
          <w:szCs w:val="20"/>
        </w:rPr>
      </w:pPr>
      <w:r w:rsidDel="00000000" w:rsidR="00000000" w:rsidRPr="00000000">
        <w:rPr>
          <w:b w:val="1"/>
          <w:sz w:val="20"/>
          <w:szCs w:val="20"/>
          <w:rtl w:val="0"/>
        </w:rPr>
        <w:t xml:space="preserve">Intent</w:t>
      </w:r>
      <w:r w:rsidDel="00000000" w:rsidR="00000000" w:rsidRPr="00000000">
        <w:rPr>
          <w:sz w:val="20"/>
          <w:szCs w:val="20"/>
          <w:rtl w:val="0"/>
        </w:rPr>
        <w:t xml:space="preserve">: To enable occupants to hear presenters, audio content, and one another through effective acoustic design of the room. </w:t>
      </w:r>
      <w:r w:rsidDel="00000000" w:rsidR="00000000" w:rsidRPr="00000000">
        <w:rPr>
          <w:i w:val="1"/>
          <w:sz w:val="20"/>
          <w:szCs w:val="20"/>
          <w:rtl w:val="0"/>
        </w:rPr>
        <w:t xml:space="preserve">1 point</w:t>
      </w:r>
      <w:r w:rsidDel="00000000" w:rsidR="00000000" w:rsidRPr="00000000">
        <w:rPr>
          <w:rtl w:val="0"/>
        </w:rPr>
      </w:r>
    </w:p>
    <w:p w:rsidR="00000000" w:rsidDel="00000000" w:rsidP="00000000" w:rsidRDefault="00000000" w:rsidRPr="00000000" w14:paraId="00000063">
      <w:pPr>
        <w:contextualSpacing w:val="0"/>
        <w:rPr>
          <w:sz w:val="20"/>
          <w:szCs w:val="20"/>
        </w:rPr>
      </w:pPr>
      <w:r w:rsidDel="00000000" w:rsidR="00000000" w:rsidRPr="00000000">
        <w:rPr>
          <w:rtl w:val="0"/>
        </w:rPr>
      </w:r>
    </w:p>
    <w:p w:rsidR="00000000" w:rsidDel="00000000" w:rsidP="00000000" w:rsidRDefault="00000000" w:rsidRPr="00000000" w14:paraId="00000064">
      <w:pPr>
        <w:contextualSpacing w:val="0"/>
        <w:rPr>
          <w:sz w:val="20"/>
          <w:szCs w:val="20"/>
        </w:rPr>
      </w:pPr>
      <w:r w:rsidDel="00000000" w:rsidR="00000000" w:rsidRPr="00000000">
        <w:rPr>
          <w:b w:val="1"/>
          <w:sz w:val="20"/>
          <w:szCs w:val="20"/>
          <w:rtl w:val="0"/>
        </w:rPr>
        <w:t xml:space="preserve">Criteria for the points:</w:t>
      </w:r>
      <w:r w:rsidDel="00000000" w:rsidR="00000000" w:rsidRPr="00000000">
        <w:rPr>
          <w:sz w:val="20"/>
          <w:szCs w:val="20"/>
          <w:rtl w:val="0"/>
        </w:rPr>
        <w:t xml:space="preserve"> </w:t>
      </w:r>
    </w:p>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To obtain credit, do the following:</w:t>
      </w:r>
    </w:p>
    <w:p w:rsidR="00000000" w:rsidDel="00000000" w:rsidP="00000000" w:rsidRDefault="00000000" w:rsidRPr="00000000" w14:paraId="00000066">
      <w:pPr>
        <w:numPr>
          <w:ilvl w:val="0"/>
          <w:numId w:val="1"/>
        </w:numPr>
        <w:ind w:left="720" w:hanging="360"/>
        <w:contextualSpacing w:val="1"/>
        <w:rPr>
          <w:sz w:val="20"/>
          <w:szCs w:val="20"/>
          <w:u w:val="none"/>
        </w:rPr>
      </w:pPr>
      <w:r w:rsidDel="00000000" w:rsidR="00000000" w:rsidRPr="00000000">
        <w:rPr>
          <w:sz w:val="20"/>
          <w:szCs w:val="20"/>
          <w:rtl w:val="0"/>
        </w:rPr>
        <w:t xml:space="preserve">Follow ANSI/ASA S12.60-2010/Part 1 American National Standard Acoustical Performance Criteria, Design Requirements, and Guidelines for Schools, Part 1: Permanent Schools standards for acoustics in core learning spaces and ancillary learning spaces (available here after creating an account). These include noise-isolation design requirements and specific limits on background noise and reverberation from building services and utilities.</w:t>
      </w:r>
    </w:p>
    <w:p w:rsidR="00000000" w:rsidDel="00000000" w:rsidP="00000000" w:rsidRDefault="00000000" w:rsidRPr="00000000" w14:paraId="00000067">
      <w:pPr>
        <w:numPr>
          <w:ilvl w:val="0"/>
          <w:numId w:val="1"/>
        </w:numPr>
        <w:ind w:left="720" w:hanging="360"/>
        <w:contextualSpacing w:val="1"/>
        <w:rPr>
          <w:sz w:val="20"/>
          <w:szCs w:val="20"/>
          <w:u w:val="none"/>
        </w:rPr>
      </w:pPr>
      <w:r w:rsidDel="00000000" w:rsidR="00000000" w:rsidRPr="00000000">
        <w:rPr>
          <w:sz w:val="20"/>
          <w:szCs w:val="20"/>
          <w:rtl w:val="0"/>
        </w:rPr>
        <w:t xml:space="preserve">Design acoustics to enable participants farthest from the sound source to have a comparable listening experience to participants closest to the source. In addition, provide appropriate acoustic design so that groups working together can comfortably hear each other.</w:t>
      </w:r>
    </w:p>
    <w:p w:rsidR="00000000" w:rsidDel="00000000" w:rsidP="00000000" w:rsidRDefault="00000000" w:rsidRPr="00000000" w14:paraId="00000068">
      <w:pPr>
        <w:numPr>
          <w:ilvl w:val="0"/>
          <w:numId w:val="1"/>
        </w:numPr>
        <w:ind w:left="720" w:hanging="360"/>
        <w:contextualSpacing w:val="1"/>
        <w:rPr>
          <w:sz w:val="20"/>
          <w:szCs w:val="20"/>
          <w:u w:val="none"/>
        </w:rPr>
      </w:pPr>
      <w:r w:rsidDel="00000000" w:rsidR="00000000" w:rsidRPr="00000000">
        <w:rPr>
          <w:sz w:val="20"/>
          <w:szCs w:val="20"/>
          <w:rtl w:val="0"/>
        </w:rPr>
        <w:t xml:space="preserve">Provide sound amplification system if needed</w:t>
      </w:r>
    </w:p>
    <w:p w:rsidR="00000000" w:rsidDel="00000000" w:rsidP="00000000" w:rsidRDefault="00000000" w:rsidRPr="00000000" w14:paraId="00000069">
      <w:pPr>
        <w:contextualSpacing w:val="0"/>
        <w:rPr>
          <w:sz w:val="20"/>
          <w:szCs w:val="20"/>
        </w:rPr>
      </w:pPr>
      <w:r w:rsidDel="00000000" w:rsidR="00000000" w:rsidRPr="00000000">
        <w:rPr>
          <w:rtl w:val="0"/>
        </w:rPr>
      </w:r>
    </w:p>
    <w:p w:rsidR="00000000" w:rsidDel="00000000" w:rsidP="00000000" w:rsidRDefault="00000000" w:rsidRPr="00000000" w14:paraId="0000006A">
      <w:pPr>
        <w:contextualSpacing w:val="0"/>
        <w:rPr>
          <w:sz w:val="20"/>
          <w:szCs w:val="20"/>
        </w:rPr>
      </w:pPr>
      <w:r w:rsidDel="00000000" w:rsidR="00000000" w:rsidRPr="00000000">
        <w:rPr>
          <w:b w:val="1"/>
          <w:sz w:val="20"/>
          <w:szCs w:val="20"/>
          <w:rtl w:val="0"/>
        </w:rPr>
        <w:t xml:space="preserve">Evidence for this credit:</w:t>
      </w:r>
      <w:r w:rsidDel="00000000" w:rsidR="00000000" w:rsidRPr="00000000">
        <w:rPr>
          <w:sz w:val="20"/>
          <w:szCs w:val="20"/>
          <w:rtl w:val="0"/>
        </w:rPr>
        <w:t xml:space="preserve"> Provide learner and instructor feedback on consistency of acoustics quality within the space.</w:t>
      </w:r>
    </w:p>
    <w:p w:rsidR="00000000" w:rsidDel="00000000" w:rsidP="00000000" w:rsidRDefault="00000000" w:rsidRPr="00000000" w14:paraId="0000006B">
      <w:pPr>
        <w:contextualSpacing w:val="0"/>
        <w:rPr>
          <w:sz w:val="20"/>
          <w:szCs w:val="20"/>
        </w:rPr>
      </w:pPr>
      <w:r w:rsidDel="00000000" w:rsidR="00000000" w:rsidRPr="00000000">
        <w:rPr>
          <w:rtl w:val="0"/>
        </w:rPr>
      </w:r>
    </w:p>
    <w:p w:rsidR="00000000" w:rsidDel="00000000" w:rsidP="00000000" w:rsidRDefault="00000000" w:rsidRPr="00000000" w14:paraId="0000006C">
      <w:pPr>
        <w:contextualSpacing w:val="0"/>
        <w:rPr>
          <w:b w:val="1"/>
          <w:sz w:val="20"/>
          <w:szCs w:val="20"/>
        </w:rPr>
      </w:pPr>
      <w:r w:rsidDel="00000000" w:rsidR="00000000" w:rsidRPr="00000000">
        <w:rPr>
          <w:b w:val="1"/>
          <w:sz w:val="20"/>
          <w:szCs w:val="20"/>
          <w:rtl w:val="0"/>
        </w:rPr>
        <w:t xml:space="preserve">Additional considerations:</w:t>
      </w:r>
    </w:p>
    <w:p w:rsidR="00000000" w:rsidDel="00000000" w:rsidP="00000000" w:rsidRDefault="00000000" w:rsidRPr="00000000" w14:paraId="0000006D">
      <w:pPr>
        <w:numPr>
          <w:ilvl w:val="0"/>
          <w:numId w:val="2"/>
        </w:numPr>
        <w:ind w:left="720" w:hanging="360"/>
        <w:contextualSpacing w:val="1"/>
        <w:rPr>
          <w:sz w:val="20"/>
          <w:szCs w:val="20"/>
          <w:u w:val="none"/>
        </w:rPr>
      </w:pPr>
      <w:r w:rsidDel="00000000" w:rsidR="00000000" w:rsidRPr="00000000">
        <w:rPr>
          <w:sz w:val="20"/>
          <w:szCs w:val="20"/>
          <w:rtl w:val="0"/>
        </w:rPr>
        <w:t xml:space="preserve">Refer architects to the ANSI/ASI guidelines for various size spaces including large classrooms and lecture spaces and for use of sound-absorbing materials and acoustical treatments.</w:t>
      </w:r>
    </w:p>
    <w:p w:rsidR="00000000" w:rsidDel="00000000" w:rsidP="00000000" w:rsidRDefault="00000000" w:rsidRPr="00000000" w14:paraId="0000006E">
      <w:pPr>
        <w:numPr>
          <w:ilvl w:val="0"/>
          <w:numId w:val="2"/>
        </w:numPr>
        <w:ind w:left="720" w:hanging="360"/>
        <w:contextualSpacing w:val="1"/>
        <w:rPr>
          <w:sz w:val="20"/>
          <w:szCs w:val="20"/>
          <w:u w:val="none"/>
        </w:rPr>
      </w:pPr>
      <w:r w:rsidDel="00000000" w:rsidR="00000000" w:rsidRPr="00000000">
        <w:rPr>
          <w:sz w:val="20"/>
          <w:szCs w:val="20"/>
          <w:rtl w:val="0"/>
        </w:rPr>
        <w:t xml:space="preserve">See the ANSI/ASI guidelines for recommendations about the effects of carpeting and furnishings on acoustics. </w:t>
      </w:r>
    </w:p>
    <w:p w:rsidR="00000000" w:rsidDel="00000000" w:rsidP="00000000" w:rsidRDefault="00000000" w:rsidRPr="00000000" w14:paraId="0000006F">
      <w:pPr>
        <w:numPr>
          <w:ilvl w:val="0"/>
          <w:numId w:val="2"/>
        </w:numPr>
        <w:ind w:left="720" w:hanging="360"/>
        <w:contextualSpacing w:val="1"/>
        <w:rPr>
          <w:sz w:val="20"/>
          <w:szCs w:val="20"/>
          <w:u w:val="none"/>
        </w:rPr>
      </w:pPr>
      <w:r w:rsidDel="00000000" w:rsidR="00000000" w:rsidRPr="00000000">
        <w:rPr>
          <w:sz w:val="20"/>
          <w:szCs w:val="20"/>
          <w:rtl w:val="0"/>
        </w:rPr>
        <w:t xml:space="preserve">Consider the various aspects that contribute to acoustic performance, such as building envelop design, window ratings and interior materials; HVAC systems, vibration controls, white noise systems; and sound amplification systems or other technology interventions (see TT Credit 6.4: Sound Amplification). </w:t>
      </w:r>
    </w:p>
    <w:p w:rsidR="00000000" w:rsidDel="00000000" w:rsidP="00000000" w:rsidRDefault="00000000" w:rsidRPr="00000000" w14:paraId="00000070">
      <w:pPr>
        <w:numPr>
          <w:ilvl w:val="0"/>
          <w:numId w:val="2"/>
        </w:numPr>
        <w:ind w:left="720" w:hanging="360"/>
        <w:contextualSpacing w:val="1"/>
        <w:rPr>
          <w:sz w:val="20"/>
          <w:szCs w:val="20"/>
          <w:u w:val="none"/>
        </w:rPr>
      </w:pPr>
      <w:r w:rsidDel="00000000" w:rsidR="00000000" w:rsidRPr="00000000">
        <w:rPr>
          <w:sz w:val="20"/>
          <w:szCs w:val="20"/>
          <w:rtl w:val="0"/>
        </w:rPr>
        <w:t xml:space="preserve">Consider active versus passive acoustic controls.</w:t>
      </w:r>
      <w:r w:rsidDel="00000000" w:rsidR="00000000" w:rsidRPr="00000000">
        <w:rPr>
          <w:rtl w:val="0"/>
        </w:rPr>
      </w:r>
    </w:p>
    <w:p w:rsidR="00000000" w:rsidDel="00000000" w:rsidP="00000000" w:rsidRDefault="00000000" w:rsidRPr="00000000" w14:paraId="00000071">
      <w:pPr>
        <w:contextualSpacing w:val="0"/>
        <w:rPr>
          <w:color w:val="2e2e2e"/>
          <w:sz w:val="20"/>
          <w:szCs w:val="2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Style w:val="Heading1"/>
      <w:contextualSpacing w:val="0"/>
      <w:jc w:val="center"/>
      <w:rPr/>
    </w:pPr>
    <w:bookmarkStart w:colFirst="0" w:colLast="0" w:name="_6045s84fsvin" w:id="6"/>
    <w:bookmarkEnd w:id="6"/>
    <w:r w:rsidDel="00000000" w:rsidR="00000000" w:rsidRPr="00000000">
      <w:rPr>
        <w:rtl w:val="0"/>
      </w:rPr>
      <w:t xml:space="preserve">The EDUCAUSE Learning Space Rating System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e2e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ducause.edu/eli/initiatives/learning-space-rating-syste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