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LSRS V2.0 </w:t>
      </w:r>
      <w:r w:rsidDel="00000000" w:rsidR="00000000" w:rsidRPr="00000000">
        <w:rPr>
          <w:rtl w:val="0"/>
        </w:rPr>
        <w:t xml:space="preserve">Comment choices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McGill University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4.1 Daylight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Windows (direct light)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Windows (indirect light)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4.2 Views to Outdoors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Vegetation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Human Activity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Objects 25ft away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4.3 Interior Visibility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visual obstructions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Clear sightlines to every seat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4.4 Lighting Control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Automated system that includes: (1 point)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Dimming/brightness control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Separate zone lighting control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control hue, saturation (2 points)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4.5 Thermal Comfort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Intuitive, visible, functional buttons for control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4.6 Acoustic Quality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Visible acoustic paneling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 reverb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4.7 Environmental and Cultural Inclusiveness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color, natural materials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art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Aesthetically pleasing furnishings [provide justification]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4.8 Accessibility and Universal Design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Universally designed; may include: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Flat floor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tables accessible by wheelchair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5.1 Proximities within Space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can face each other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Instructor can easily move among students, such as via: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floor plan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Movable podium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Central podium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Pathways allow access to all students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5.2 Movement Through Space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Unobstructed movement through space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Adequate space for movement in aisles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Adequate passing spaces (e.g., space around student seating)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5.3 Seating Density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points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5.4 Furniture Configuration Flexibility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Movable chairs (with wheels or lightweight) = 1 point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Movable tables = 2 points total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Nestable chairs = 3 points total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Flip top tables [note if existing]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5.5 Work Surfaces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30" x 24"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5.6 Seating Comfort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Vertical adjustable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5.7 Movable Partitions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Movable panels exist and can be easily moved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5.8 Transparency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Door portal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 into classroom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Frosted glass window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work products displayed outside of class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5.9 Access to Adjacent Informal Learning Areas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Within line of sight from door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station(s)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5.10 Writable Surfaces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have access to writable surfaces around classroom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and project at the same time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wall has surface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walls have surfaces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walls have surfaces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walls have surfaces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Movable surfaces within space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5.11 Physical Storage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Storage for instructor and student belongings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 point)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Hooks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Shelf for backpack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Cubbies for storage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Cabinets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Lockable storage for equipment/learning materials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for movable furniture (2 points) 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5.12 Future Proofing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Flat floor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Hollow tiers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Raised flooring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6.1 Electrical Power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Outlets on walls within standard cord-length away from all student seating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Outlets at students' locations in classroom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Charging station(s) available in classroom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6.2 Network Connectivity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Wifi coverage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6.3 Visual Displays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visual display (projector and screen) (=1 point)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visual displays (projectors and screens) (= 2 points)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visual displays (projectors and screens) (=3 points)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6.4 Sound Amplification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Microphone capabilities present in room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(to be confirmed with LSRS team)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Microphone present in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6.5 Audio/Visual Interface and Control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Button-controlled interface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(to be confirmed with LSRS team)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Touchscreen interface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6.6 Distributed Interactivity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Videoconferencing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6.7 Session Capture and Access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Lecture recording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