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9C7" w:rsidRPr="00E00700" w:rsidRDefault="008919C7" w:rsidP="00E00700">
      <w:pPr>
        <w:pStyle w:val="Heading1"/>
        <w:jc w:val="center"/>
      </w:pPr>
      <w:r>
        <w:t>Generation Y</w:t>
      </w:r>
    </w:p>
    <w:p w:rsidR="008919C7" w:rsidRPr="00E00700" w:rsidRDefault="008919C7" w:rsidP="008919C7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E00700">
        <w:rPr>
          <w:rFonts w:cstheme="minorHAnsi"/>
          <w:color w:val="000000"/>
          <w:sz w:val="20"/>
          <w:szCs w:val="20"/>
          <w:shd w:val="clear" w:color="auto" w:fill="FFFFFF"/>
        </w:rPr>
        <w:t>lower expectations of academic achievement</w:t>
      </w:r>
      <w:r w:rsidR="003F7CBE" w:rsidRPr="00E00700">
        <w:rPr>
          <w:rFonts w:cstheme="minorHAnsi"/>
          <w:color w:val="000000"/>
          <w:sz w:val="20"/>
          <w:szCs w:val="20"/>
          <w:shd w:val="clear" w:color="auto" w:fill="FFFFFF"/>
        </w:rPr>
        <w:t xml:space="preserve"> (Johnson, 2015)</w:t>
      </w:r>
    </w:p>
    <w:p w:rsidR="008919C7" w:rsidRPr="00E00700" w:rsidRDefault="003F7CBE" w:rsidP="008919C7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E00700">
        <w:rPr>
          <w:rFonts w:cstheme="minorHAnsi"/>
          <w:sz w:val="20"/>
          <w:szCs w:val="20"/>
        </w:rPr>
        <w:t>R</w:t>
      </w:r>
      <w:r w:rsidR="008919C7" w:rsidRPr="00E00700">
        <w:rPr>
          <w:rFonts w:cstheme="minorHAnsi"/>
          <w:sz w:val="20"/>
          <w:szCs w:val="20"/>
        </w:rPr>
        <w:t>equire more grit (perseverance of effort and consistency of interest) to succeed in higher education along with better institutional support</w:t>
      </w:r>
      <w:r w:rsidRPr="00E00700">
        <w:rPr>
          <w:rFonts w:cstheme="minorHAnsi"/>
          <w:sz w:val="20"/>
          <w:szCs w:val="20"/>
        </w:rPr>
        <w:t xml:space="preserve"> </w:t>
      </w:r>
      <w:r w:rsidRPr="00E00700">
        <w:rPr>
          <w:rFonts w:cstheme="minorHAnsi"/>
          <w:color w:val="000000"/>
          <w:sz w:val="20"/>
          <w:szCs w:val="20"/>
          <w:shd w:val="clear" w:color="auto" w:fill="FFFFFF"/>
        </w:rPr>
        <w:t>(Cupitt and Golshan, 2015)</w:t>
      </w:r>
    </w:p>
    <w:p w:rsidR="008919C7" w:rsidRPr="00E00700" w:rsidRDefault="003F7CBE" w:rsidP="008919C7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E00700">
        <w:rPr>
          <w:rFonts w:cstheme="minorHAnsi"/>
          <w:sz w:val="20"/>
          <w:szCs w:val="20"/>
        </w:rPr>
        <w:t>E</w:t>
      </w:r>
      <w:r w:rsidR="008919C7" w:rsidRPr="00E00700">
        <w:rPr>
          <w:rFonts w:cstheme="minorHAnsi"/>
          <w:sz w:val="20"/>
          <w:szCs w:val="20"/>
        </w:rPr>
        <w:t>ducators need to link their educational engagement and perseverance to long-term goals rather than short-term motivators</w:t>
      </w:r>
      <w:r w:rsidRPr="00E00700">
        <w:rPr>
          <w:rFonts w:cstheme="minorHAnsi"/>
          <w:sz w:val="20"/>
          <w:szCs w:val="20"/>
        </w:rPr>
        <w:t xml:space="preserve"> </w:t>
      </w:r>
      <w:r w:rsidRPr="00E00700">
        <w:rPr>
          <w:rFonts w:cstheme="minorHAnsi"/>
          <w:color w:val="000000"/>
          <w:sz w:val="20"/>
          <w:szCs w:val="20"/>
          <w:shd w:val="clear" w:color="auto" w:fill="FFFFFF"/>
        </w:rPr>
        <w:t>(Cupitt and Golshan, 2015)</w:t>
      </w:r>
    </w:p>
    <w:p w:rsidR="008919C7" w:rsidRPr="00E00700" w:rsidRDefault="008919C7" w:rsidP="008919C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00700">
        <w:rPr>
          <w:rFonts w:cstheme="minorHAnsi"/>
          <w:sz w:val="20"/>
          <w:szCs w:val="20"/>
        </w:rPr>
        <w:t>Generation Y are more likely to exit an organisation due to lack of support, appreciation and flexibility than for any other factors (PWC 2013)</w:t>
      </w:r>
    </w:p>
    <w:p w:rsidR="008919C7" w:rsidRPr="00E00700" w:rsidRDefault="003F7CBE" w:rsidP="008919C7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E00700">
        <w:rPr>
          <w:rFonts w:cstheme="minorHAnsi"/>
          <w:sz w:val="20"/>
          <w:szCs w:val="20"/>
        </w:rPr>
        <w:t>O</w:t>
      </w:r>
      <w:r w:rsidR="008919C7" w:rsidRPr="00E00700">
        <w:rPr>
          <w:rFonts w:cstheme="minorHAnsi"/>
          <w:sz w:val="20"/>
          <w:szCs w:val="20"/>
        </w:rPr>
        <w:t>ften called the “Everybody Gets a Trophy” generation</w:t>
      </w:r>
      <w:r w:rsidRPr="00E00700">
        <w:rPr>
          <w:rFonts w:cstheme="minorHAnsi"/>
          <w:sz w:val="20"/>
          <w:szCs w:val="20"/>
        </w:rPr>
        <w:t xml:space="preserve"> (Battersby, 2017)</w:t>
      </w:r>
    </w:p>
    <w:p w:rsidR="008919C7" w:rsidRPr="00E00700" w:rsidRDefault="003F7CBE" w:rsidP="008919C7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E00700">
        <w:rPr>
          <w:rFonts w:cstheme="minorHAnsi"/>
          <w:sz w:val="20"/>
          <w:szCs w:val="20"/>
        </w:rPr>
        <w:t>B</w:t>
      </w:r>
      <w:r w:rsidR="008919C7" w:rsidRPr="00E00700">
        <w:rPr>
          <w:rFonts w:cstheme="minorHAnsi"/>
          <w:sz w:val="20"/>
          <w:szCs w:val="20"/>
        </w:rPr>
        <w:t>rought up working in teams with shared rewards and a desire to be coached or mentored</w:t>
      </w:r>
    </w:p>
    <w:p w:rsidR="008919C7" w:rsidRPr="00E00700" w:rsidRDefault="008919C7" w:rsidP="008919C7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E00700">
        <w:rPr>
          <w:rFonts w:cstheme="minorHAnsi"/>
          <w:sz w:val="20"/>
          <w:szCs w:val="20"/>
        </w:rPr>
        <w:t>tend to enjoy and encourage group work and group ac</w:t>
      </w:r>
      <w:r w:rsidR="003F7CBE" w:rsidRPr="00E00700">
        <w:rPr>
          <w:rFonts w:cstheme="minorHAnsi"/>
          <w:sz w:val="20"/>
          <w:szCs w:val="20"/>
        </w:rPr>
        <w:t>tivities (</w:t>
      </w:r>
      <w:r w:rsidRPr="00E00700">
        <w:rPr>
          <w:rFonts w:cstheme="minorHAnsi"/>
          <w:sz w:val="20"/>
          <w:szCs w:val="20"/>
        </w:rPr>
        <w:t>Price, 2010)</w:t>
      </w:r>
    </w:p>
    <w:p w:rsidR="008919C7" w:rsidRPr="00E00700" w:rsidRDefault="008919C7" w:rsidP="003F7CBE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E00700">
        <w:rPr>
          <w:rFonts w:cstheme="minorHAnsi"/>
          <w:sz w:val="20"/>
          <w:szCs w:val="20"/>
        </w:rPr>
        <w:t>Action oriented teaching strategies work well with interactive activities and shorter segments</w:t>
      </w:r>
      <w:r w:rsidR="003F7CBE" w:rsidRPr="00E00700">
        <w:rPr>
          <w:rFonts w:cstheme="minorHAnsi"/>
          <w:sz w:val="20"/>
          <w:szCs w:val="20"/>
        </w:rPr>
        <w:t xml:space="preserve">. </w:t>
      </w:r>
      <w:r w:rsidRPr="00E00700">
        <w:rPr>
          <w:rFonts w:cstheme="minorHAnsi"/>
          <w:sz w:val="20"/>
          <w:szCs w:val="20"/>
        </w:rPr>
        <w:t>Generation Y students enjoy using technology regularly, educators need to be constantly changing their methods from lecture to discussion, to watching a video, to group work, in order to hold the attention of Millennials (Price, 2010)</w:t>
      </w:r>
    </w:p>
    <w:p w:rsidR="00DB726E" w:rsidRPr="00E00700" w:rsidRDefault="008919C7" w:rsidP="0056248D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E00700">
        <w:rPr>
          <w:rFonts w:cstheme="minorHAnsi"/>
          <w:sz w:val="20"/>
          <w:szCs w:val="20"/>
        </w:rPr>
        <w:t>Generation Y need to feel challenged and have explicit development, supervision and support (Lavoie-Tremblay et al 2010).</w:t>
      </w:r>
    </w:p>
    <w:p w:rsidR="004D1270" w:rsidRPr="00E00700" w:rsidRDefault="004D1270" w:rsidP="004D1270">
      <w:pPr>
        <w:rPr>
          <w:rFonts w:cstheme="minorHAnsi"/>
          <w:sz w:val="20"/>
          <w:szCs w:val="20"/>
        </w:rPr>
      </w:pPr>
      <w:r w:rsidRPr="00E00700">
        <w:rPr>
          <w:rFonts w:cstheme="minorHAnsi"/>
          <w:noProof/>
          <w:sz w:val="20"/>
          <w:szCs w:val="20"/>
          <w:lang w:eastAsia="en-GB"/>
        </w:rPr>
        <w:drawing>
          <wp:inline distT="0" distB="0" distL="0" distR="0" wp14:anchorId="06D8F869" wp14:editId="4CBE8AEB">
            <wp:extent cx="1606163" cy="189819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2332" cy="19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700">
        <w:rPr>
          <w:rFonts w:cstheme="minorHAnsi"/>
          <w:sz w:val="20"/>
          <w:szCs w:val="20"/>
        </w:rPr>
        <w:t xml:space="preserve"> </w:t>
      </w:r>
      <w:r w:rsidRPr="00E00700">
        <w:rPr>
          <w:rFonts w:cstheme="minorHAnsi"/>
          <w:noProof/>
          <w:sz w:val="20"/>
          <w:szCs w:val="20"/>
          <w:lang w:eastAsia="en-GB"/>
        </w:rPr>
        <w:drawing>
          <wp:inline distT="0" distB="0" distL="0" distR="0" wp14:anchorId="3F7704BE" wp14:editId="53FDD58C">
            <wp:extent cx="1642719" cy="19321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3963" cy="196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700">
        <w:rPr>
          <w:rFonts w:cstheme="minorHAnsi"/>
          <w:sz w:val="20"/>
          <w:szCs w:val="20"/>
        </w:rPr>
        <w:t xml:space="preserve"> </w:t>
      </w:r>
      <w:r w:rsidRPr="00E00700">
        <w:rPr>
          <w:rFonts w:cstheme="minorHAnsi"/>
          <w:noProof/>
          <w:sz w:val="20"/>
          <w:szCs w:val="20"/>
          <w:lang w:eastAsia="en-GB"/>
        </w:rPr>
        <w:drawing>
          <wp:inline distT="0" distB="0" distL="0" distR="0" wp14:anchorId="08132DAA" wp14:editId="62CB7872">
            <wp:extent cx="1601878" cy="191626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4150" cy="19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BE" w:rsidRPr="00E00700" w:rsidRDefault="004D1270" w:rsidP="003F7CBE">
      <w:pPr>
        <w:rPr>
          <w:rFonts w:cstheme="minorHAnsi"/>
          <w:sz w:val="20"/>
          <w:szCs w:val="20"/>
        </w:rPr>
      </w:pPr>
      <w:r w:rsidRPr="00E00700">
        <w:rPr>
          <w:rFonts w:cstheme="minorHAnsi"/>
          <w:noProof/>
          <w:sz w:val="20"/>
          <w:szCs w:val="20"/>
          <w:lang w:eastAsia="en-GB"/>
        </w:rPr>
        <w:drawing>
          <wp:inline distT="0" distB="0" distL="0" distR="0" wp14:anchorId="59A01576" wp14:editId="6D643DC9">
            <wp:extent cx="1638905" cy="19480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2247" cy="202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700">
        <w:rPr>
          <w:rFonts w:cstheme="minorHAnsi"/>
          <w:sz w:val="20"/>
          <w:szCs w:val="20"/>
        </w:rPr>
        <w:t xml:space="preserve"> </w:t>
      </w:r>
      <w:r w:rsidR="008919C7" w:rsidRPr="00E00700">
        <w:rPr>
          <w:rFonts w:cstheme="minorHAnsi"/>
          <w:noProof/>
          <w:sz w:val="20"/>
          <w:szCs w:val="20"/>
          <w:lang w:eastAsia="en-GB"/>
        </w:rPr>
        <w:drawing>
          <wp:inline distT="0" distB="0" distL="0" distR="0" wp14:anchorId="7735ABC1" wp14:editId="7D738E8D">
            <wp:extent cx="1653871" cy="194348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2667" cy="19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9C7" w:rsidRPr="00E00700">
        <w:rPr>
          <w:rFonts w:cstheme="minorHAnsi"/>
          <w:sz w:val="20"/>
          <w:szCs w:val="20"/>
        </w:rPr>
        <w:t xml:space="preserve"> </w:t>
      </w:r>
      <w:r w:rsidR="004479FB" w:rsidRPr="00E00700">
        <w:rPr>
          <w:rFonts w:cstheme="minorHAnsi"/>
          <w:noProof/>
          <w:sz w:val="20"/>
          <w:szCs w:val="20"/>
          <w:lang w:eastAsia="en-GB"/>
        </w:rPr>
        <w:drawing>
          <wp:inline distT="0" distB="0" distL="0" distR="0" wp14:anchorId="2F582EAB" wp14:editId="65032C83">
            <wp:extent cx="1661143" cy="1948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8393" cy="198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20" w:rsidRPr="00DA3ED8" w:rsidRDefault="00E00700" w:rsidP="0056248D">
      <w:pPr>
        <w:rPr>
          <w:rFonts w:cstheme="minorHAnsi"/>
          <w:color w:val="222222"/>
          <w:sz w:val="20"/>
          <w:szCs w:val="20"/>
          <w:shd w:val="clear" w:color="auto" w:fill="FFFFFF"/>
        </w:rPr>
      </w:pPr>
      <w:r w:rsidRPr="00E00700">
        <w:rPr>
          <w:rFonts w:cstheme="minorHAnsi"/>
          <w:color w:val="222222"/>
          <w:sz w:val="20"/>
          <w:szCs w:val="20"/>
          <w:shd w:val="clear" w:color="auto" w:fill="FFFFFF"/>
        </w:rPr>
        <w:t>Battersby, L., 2017. Education strategies that best engage Generation Y students. </w:t>
      </w:r>
      <w:r w:rsidRPr="00E00700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Canadian Journal of Dental Hygiene</w:t>
      </w:r>
      <w:r w:rsidRPr="00E00700">
        <w:rPr>
          <w:rFonts w:cstheme="minorHAnsi"/>
          <w:color w:val="222222"/>
          <w:sz w:val="20"/>
          <w:szCs w:val="20"/>
          <w:shd w:val="clear" w:color="auto" w:fill="FFFFFF"/>
        </w:rPr>
        <w:t>, </w:t>
      </w:r>
      <w:r w:rsidRPr="00E00700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51</w:t>
      </w:r>
      <w:r w:rsidRPr="00E00700">
        <w:rPr>
          <w:rFonts w:cstheme="minorHAnsi"/>
          <w:color w:val="222222"/>
          <w:sz w:val="20"/>
          <w:szCs w:val="20"/>
          <w:shd w:val="clear" w:color="auto" w:fill="FFFFFF"/>
        </w:rPr>
        <w:t>(3).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</w:t>
      </w:r>
      <w:r w:rsidR="003F7CBE" w:rsidRPr="00E00700">
        <w:rPr>
          <w:rFonts w:cstheme="minorHAnsi"/>
          <w:color w:val="222222"/>
          <w:sz w:val="20"/>
          <w:szCs w:val="20"/>
          <w:shd w:val="clear" w:color="auto" w:fill="FFFFFF"/>
        </w:rPr>
        <w:t>Cupitt, C. and Golshan, N., 2015. Participation in higher education online: Demographics, motivators, and grit. In </w:t>
      </w:r>
      <w:r w:rsidR="003F7CBE" w:rsidRPr="00E00700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STARS Conference</w:t>
      </w:r>
      <w:r w:rsidR="003F7CBE" w:rsidRPr="00E00700">
        <w:rPr>
          <w:rFonts w:cstheme="minorHAnsi"/>
          <w:color w:val="222222"/>
          <w:sz w:val="20"/>
          <w:szCs w:val="20"/>
          <w:shd w:val="clear" w:color="auto" w:fill="FFFFFF"/>
        </w:rPr>
        <w:t>.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</w:t>
      </w:r>
      <w:r w:rsidRPr="00E00700">
        <w:rPr>
          <w:rFonts w:cstheme="minorHAnsi"/>
          <w:color w:val="000000"/>
          <w:sz w:val="20"/>
          <w:szCs w:val="20"/>
          <w:shd w:val="clear" w:color="auto" w:fill="FFFFFF"/>
        </w:rPr>
        <w:t>Johnson, Genevieve M., 2015. On-Campus and Fully-Online University Students: Comparing Demographics, Digital Technology Use and Learning Characteristics, </w:t>
      </w:r>
      <w:r w:rsidRPr="00E00700">
        <w:rPr>
          <w:rStyle w:val="Emphasis"/>
          <w:rFonts w:cstheme="minorHAnsi"/>
          <w:color w:val="000000"/>
          <w:sz w:val="20"/>
          <w:szCs w:val="20"/>
          <w:bdr w:val="none" w:sz="0" w:space="0" w:color="auto" w:frame="1"/>
          <w:shd w:val="clear" w:color="auto" w:fill="FFFFFF"/>
        </w:rPr>
        <w:t>Journal of University Teaching &amp; Learning Practice</w:t>
      </w:r>
      <w:r w:rsidRPr="00E00700">
        <w:rPr>
          <w:rFonts w:cstheme="minorHAnsi"/>
          <w:color w:val="000000"/>
          <w:sz w:val="20"/>
          <w:szCs w:val="20"/>
          <w:shd w:val="clear" w:color="auto" w:fill="FFFFFF"/>
        </w:rPr>
        <w:t>, 12(1),</w:t>
      </w:r>
      <w:r w:rsidRPr="00E00700">
        <w:rPr>
          <w:rFonts w:cstheme="minorHAnsi"/>
          <w:color w:val="000000"/>
          <w:sz w:val="20"/>
          <w:szCs w:val="20"/>
        </w:rPr>
        <w:br/>
      </w:r>
      <w:r w:rsidRPr="00E00700">
        <w:rPr>
          <w:rFonts w:cstheme="minorHAnsi"/>
          <w:color w:val="000000"/>
          <w:sz w:val="20"/>
          <w:szCs w:val="20"/>
          <w:shd w:val="clear" w:color="auto" w:fill="FFFFFF"/>
        </w:rPr>
        <w:t>Available at:https://ro.uow.edu.au/jutlp/vol12/iss1/4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</w:t>
      </w:r>
      <w:r w:rsidR="003F7CBE" w:rsidRPr="00E00700">
        <w:rPr>
          <w:rFonts w:cstheme="minorHAnsi"/>
          <w:sz w:val="20"/>
          <w:szCs w:val="20"/>
        </w:rPr>
        <w:t xml:space="preserve">Price C. </w:t>
      </w:r>
      <w:r w:rsidRPr="00E00700">
        <w:rPr>
          <w:rFonts w:cstheme="minorHAnsi"/>
          <w:sz w:val="20"/>
          <w:szCs w:val="20"/>
        </w:rPr>
        <w:t xml:space="preserve">2010. </w:t>
      </w:r>
      <w:r w:rsidR="003F7CBE" w:rsidRPr="00E00700">
        <w:rPr>
          <w:rFonts w:cstheme="minorHAnsi"/>
          <w:sz w:val="20"/>
          <w:szCs w:val="20"/>
        </w:rPr>
        <w:t xml:space="preserve">“Why don’t my students think I’m groovy?” The new Rs for engaging Millennial learners. </w:t>
      </w:r>
      <w:r w:rsidR="003F7CBE" w:rsidRPr="00E00700">
        <w:rPr>
          <w:rFonts w:cstheme="minorHAnsi"/>
          <w:i/>
          <w:sz w:val="20"/>
          <w:szCs w:val="20"/>
        </w:rPr>
        <w:t>Essays Excellence Teach</w:t>
      </w:r>
      <w:r w:rsidRPr="00E00700">
        <w:rPr>
          <w:rFonts w:cstheme="minorHAnsi"/>
          <w:sz w:val="20"/>
          <w:szCs w:val="20"/>
        </w:rPr>
        <w:t xml:space="preserve">. </w:t>
      </w:r>
      <w:r w:rsidR="003F7CBE" w:rsidRPr="00E00700">
        <w:rPr>
          <w:rFonts w:cstheme="minorHAnsi"/>
          <w:sz w:val="20"/>
          <w:szCs w:val="20"/>
        </w:rPr>
        <w:t>9:29–34.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</w:t>
      </w:r>
      <w:r w:rsidRPr="00E00700">
        <w:rPr>
          <w:rFonts w:cstheme="minorHAnsi"/>
          <w:sz w:val="20"/>
          <w:szCs w:val="20"/>
        </w:rPr>
        <w:t>Price Waterhouse Cooper. 2013. PwC’S NextGen: A global generational study 2013. Evolving talent strategy to match the new workforce reality. [Online] Available from https://www.pwc.com/en_GX/gx/hrmanagement-services/pdf/pwc-nextgen-study-2013.pdf [Accessed 08 Jan 2019]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 xml:space="preserve">                                                                                       </w:t>
      </w:r>
      <w:r w:rsidRPr="00E00700">
        <w:rPr>
          <w:rFonts w:cstheme="minorHAnsi"/>
          <w:sz w:val="20"/>
          <w:szCs w:val="20"/>
        </w:rPr>
        <w:t>Lavoie-Tremblay, M., Leclerc, E., Marchionni, C. and Drevniok, U. 2010. The needs and expectations of generation Y nurses in the workplace. Journal for nurses in professional development, 26 (1) 2-8.</w:t>
      </w:r>
      <w:bookmarkStart w:id="0" w:name="_GoBack"/>
      <w:bookmarkEnd w:id="0"/>
    </w:p>
    <w:sectPr w:rsidR="00472E20" w:rsidRPr="00DA3ED8" w:rsidSect="00E00700">
      <w:footerReference w:type="default" r:id="rId13"/>
      <w:pgSz w:w="11906" w:h="16838"/>
      <w:pgMar w:top="426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830" w:rsidRDefault="00F20830" w:rsidP="00B81D79">
      <w:pPr>
        <w:spacing w:after="0" w:line="240" w:lineRule="auto"/>
      </w:pPr>
      <w:r>
        <w:separator/>
      </w:r>
    </w:p>
  </w:endnote>
  <w:endnote w:type="continuationSeparator" w:id="0">
    <w:p w:rsidR="00F20830" w:rsidRDefault="00F20830" w:rsidP="00B81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D79" w:rsidRDefault="00B81D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4" name="MSIPCM08164225bf4fb59ed613a744" descr="{&quot;HashCode&quot;:26965133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1D79" w:rsidRPr="00B81D79" w:rsidRDefault="00B81D79" w:rsidP="00B81D7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81D7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08164225bf4fb59ed613a744" o:spid="_x0000_s1026" type="#_x0000_t202" alt="{&quot;HashCode&quot;:269651335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" o:allowincell="f" filled="f" stroked="f" strokeweight=".5pt">
              <v:textbox inset="20pt,0,,0">
                <w:txbxContent>
                  <w:p w:rsidR="00B81D79" w:rsidRPr="00B81D79" w:rsidRDefault="00B81D79" w:rsidP="00B81D7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B81D79">
                      <w:rPr>
                        <w:rFonts w:ascii="Calibri" w:hAnsi="Calibri" w:cs="Calibri"/>
                        <w:color w:val="000000"/>
                        <w:sz w:val="20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830" w:rsidRDefault="00F20830" w:rsidP="00B81D79">
      <w:pPr>
        <w:spacing w:after="0" w:line="240" w:lineRule="auto"/>
      </w:pPr>
      <w:r>
        <w:separator/>
      </w:r>
    </w:p>
  </w:footnote>
  <w:footnote w:type="continuationSeparator" w:id="0">
    <w:p w:rsidR="00F20830" w:rsidRDefault="00F20830" w:rsidP="00B81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1603D"/>
    <w:multiLevelType w:val="hybridMultilevel"/>
    <w:tmpl w:val="82903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48D"/>
    <w:rsid w:val="0023061A"/>
    <w:rsid w:val="00245937"/>
    <w:rsid w:val="003F7CBE"/>
    <w:rsid w:val="004479FB"/>
    <w:rsid w:val="00472E20"/>
    <w:rsid w:val="004D1270"/>
    <w:rsid w:val="00550E0B"/>
    <w:rsid w:val="0056248D"/>
    <w:rsid w:val="00697403"/>
    <w:rsid w:val="00737966"/>
    <w:rsid w:val="00774FA0"/>
    <w:rsid w:val="008919C7"/>
    <w:rsid w:val="0097284B"/>
    <w:rsid w:val="00A24505"/>
    <w:rsid w:val="00B81D79"/>
    <w:rsid w:val="00DA3ED8"/>
    <w:rsid w:val="00DB726E"/>
    <w:rsid w:val="00E00700"/>
    <w:rsid w:val="00F15B2F"/>
    <w:rsid w:val="00F2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E649FB-ECD1-4A00-B841-C0B728AC3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4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59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4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6248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6248D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B81D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D79"/>
  </w:style>
  <w:style w:type="paragraph" w:styleId="Footer">
    <w:name w:val="footer"/>
    <w:basedOn w:val="Normal"/>
    <w:link w:val="FooterChar"/>
    <w:uiPriority w:val="99"/>
    <w:unhideWhenUsed/>
    <w:rsid w:val="00B81D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D79"/>
  </w:style>
  <w:style w:type="paragraph" w:styleId="ListParagraph">
    <w:name w:val="List Paragraph"/>
    <w:basedOn w:val="Normal"/>
    <w:uiPriority w:val="34"/>
    <w:qFormat/>
    <w:rsid w:val="008919C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F7CB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459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Shaw</dc:creator>
  <cp:keywords/>
  <dc:description/>
  <cp:lastModifiedBy>Paula Shaw</cp:lastModifiedBy>
  <cp:revision>3</cp:revision>
  <dcterms:created xsi:type="dcterms:W3CDTF">2019-02-08T12:18:00Z</dcterms:created>
  <dcterms:modified xsi:type="dcterms:W3CDTF">2019-02-08T12:20:00Z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47d098f-2640-4837-b575-e0be04df0525_Enabled">
    <vt:lpwstr>True</vt:lpwstr>
  </property>
  <property fmtid="{D5CDD505-2E9C-101B-9397-08002B2CF9AE}" pid="3" name="MSIP_Label_b47d098f-2640-4837-b575-e0be04df0525_SiteId">
    <vt:lpwstr>98f1bb3a-5efa-4782-88ba-bd897db60e62</vt:lpwstr>
  </property>
  <property fmtid="{D5CDD505-2E9C-101B-9397-08002B2CF9AE}" pid="4" name="MSIP_Label_b47d098f-2640-4837-b575-e0be04df0525_Owner">
    <vt:lpwstr>PAULAB@derby.ac.uk</vt:lpwstr>
  </property>
  <property fmtid="{D5CDD505-2E9C-101B-9397-08002B2CF9AE}" pid="5" name="MSIP_Label_b47d098f-2640-4837-b575-e0be04df0525_SetDate">
    <vt:lpwstr>2019-01-21T10:03:45.7708274Z</vt:lpwstr>
  </property>
  <property fmtid="{D5CDD505-2E9C-101B-9397-08002B2CF9AE}" pid="6" name="MSIP_Label_b47d098f-2640-4837-b575-e0be04df0525_Name">
    <vt:lpwstr>Internal</vt:lpwstr>
  </property>
  <property fmtid="{D5CDD505-2E9C-101B-9397-08002B2CF9AE}" pid="7" name="MSIP_Label_b47d098f-2640-4837-b575-e0be04df0525_Application">
    <vt:lpwstr>Microsoft Azure Information Protection</vt:lpwstr>
  </property>
  <property fmtid="{D5CDD505-2E9C-101B-9397-08002B2CF9AE}" pid="8" name="MSIP_Label_b47d098f-2640-4837-b575-e0be04df0525_Extended_MSFT_Method">
    <vt:lpwstr>Automatic</vt:lpwstr>
  </property>
  <property fmtid="{D5CDD505-2E9C-101B-9397-08002B2CF9AE}" pid="9" name="MSIP_Label_501a0944-9d81-4c75-b857-2ec7863455b7_Enabled">
    <vt:lpwstr>True</vt:lpwstr>
  </property>
  <property fmtid="{D5CDD505-2E9C-101B-9397-08002B2CF9AE}" pid="10" name="MSIP_Label_501a0944-9d81-4c75-b857-2ec7863455b7_SiteId">
    <vt:lpwstr>98f1bb3a-5efa-4782-88ba-bd897db60e62</vt:lpwstr>
  </property>
  <property fmtid="{D5CDD505-2E9C-101B-9397-08002B2CF9AE}" pid="11" name="MSIP_Label_501a0944-9d81-4c75-b857-2ec7863455b7_Owner">
    <vt:lpwstr>PAULAB@derby.ac.uk</vt:lpwstr>
  </property>
  <property fmtid="{D5CDD505-2E9C-101B-9397-08002B2CF9AE}" pid="12" name="MSIP_Label_501a0944-9d81-4c75-b857-2ec7863455b7_SetDate">
    <vt:lpwstr>2019-01-21T10:03:45.7708274Z</vt:lpwstr>
  </property>
  <property fmtid="{D5CDD505-2E9C-101B-9397-08002B2CF9AE}" pid="13" name="MSIP_Label_501a0944-9d81-4c75-b857-2ec7863455b7_Name">
    <vt:lpwstr>Internal with visible marking</vt:lpwstr>
  </property>
  <property fmtid="{D5CDD505-2E9C-101B-9397-08002B2CF9AE}" pid="14" name="MSIP_Label_501a0944-9d81-4c75-b857-2ec7863455b7_Application">
    <vt:lpwstr>Microsoft Azure Information Protection</vt:lpwstr>
  </property>
  <property fmtid="{D5CDD505-2E9C-101B-9397-08002B2CF9AE}" pid="15" name="MSIP_Label_501a0944-9d81-4c75-b857-2ec7863455b7_Parent">
    <vt:lpwstr>b47d098f-2640-4837-b575-e0be04df0525</vt:lpwstr>
  </property>
  <property fmtid="{D5CDD505-2E9C-101B-9397-08002B2CF9AE}" pid="16" name="MSIP_Label_501a0944-9d81-4c75-b857-2ec7863455b7_Extended_MSFT_Method">
    <vt:lpwstr>Automatic</vt:lpwstr>
  </property>
  <property fmtid="{D5CDD505-2E9C-101B-9397-08002B2CF9AE}" pid="17" name="Sensitivity">
    <vt:lpwstr>Internal Internal with visible marking</vt:lpwstr>
  </property>
</Properties>
</file>