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0251A71" w14:textId="77777777" w:rsidR="00CF3FBE" w:rsidRDefault="004C4121">
      <w:pPr>
        <w:pStyle w:val="normal0"/>
        <w:widowControl w:val="0"/>
        <w:spacing w:before="160" w:line="327" w:lineRule="auto"/>
      </w:pPr>
      <w:r>
        <w:rPr>
          <w:b/>
          <w:color w:val="1C4587"/>
          <w:sz w:val="24"/>
          <w:highlight w:val="white"/>
        </w:rPr>
        <w:t>Wireless Upgrade Scenario</w:t>
      </w:r>
    </w:p>
    <w:p w14:paraId="6A743E2F" w14:textId="77777777" w:rsidR="00CF3FBE" w:rsidRDefault="004C4121">
      <w:pPr>
        <w:pStyle w:val="normal0"/>
        <w:widowControl w:val="0"/>
        <w:spacing w:before="160" w:line="327" w:lineRule="auto"/>
      </w:pPr>
      <w:r>
        <w:rPr>
          <w:color w:val="333333"/>
          <w:sz w:val="20"/>
          <w:highlight w:val="white"/>
        </w:rPr>
        <w:t>A generous yet anonymous donor has given your institution a large donation to fund, in perpetuity, upgrades to your university’s wireless network. [One can dream, right?] Your department has finished installing the newest access points and will cut over to</w:t>
      </w:r>
      <w:r>
        <w:rPr>
          <w:color w:val="333333"/>
          <w:sz w:val="20"/>
          <w:highlight w:val="white"/>
        </w:rPr>
        <w:t xml:space="preserve"> the new gear on Friday at midnight, June 20. Most laptops, tablets, and smartphones will briefly lose network connectivity and then pick up the new network. However, a small number of devices may need to be power cycled or reconfigured. We do not anticipa</w:t>
      </w:r>
      <w:r>
        <w:rPr>
          <w:color w:val="333333"/>
          <w:sz w:val="20"/>
          <w:highlight w:val="white"/>
        </w:rPr>
        <w:t xml:space="preserve">te users needing to take any other actions beyond that. </w:t>
      </w:r>
    </w:p>
    <w:p w14:paraId="088288D0" w14:textId="77777777" w:rsidR="00CF3FBE" w:rsidRDefault="004C4121">
      <w:pPr>
        <w:pStyle w:val="normal0"/>
        <w:widowControl w:val="0"/>
        <w:spacing w:before="160" w:line="327" w:lineRule="auto"/>
      </w:pPr>
      <w:r>
        <w:rPr>
          <w:color w:val="333333"/>
          <w:sz w:val="20"/>
          <w:highlight w:val="white"/>
        </w:rPr>
        <w:t>This upgrade improves campus wireless coverage to 90 percent of indoor spaces and 95 percent of outdoor spaces. It does not solve capacity issues—more than 150 students in one classroom still have pr</w:t>
      </w:r>
      <w:r>
        <w:rPr>
          <w:color w:val="333333"/>
          <w:sz w:val="20"/>
          <w:highlight w:val="white"/>
        </w:rPr>
        <w:t xml:space="preserve">oblems connecting all at once—nor does it improve wireless speeds. Wireless speeds will be improved during future wireless upgrades. Capacity will be addressed over the next two years through site surveys, Ethernet upgrades, custom wireless network design </w:t>
      </w:r>
      <w:r>
        <w:rPr>
          <w:color w:val="333333"/>
          <w:sz w:val="20"/>
          <w:highlight w:val="white"/>
        </w:rPr>
        <w:t>and installation, and load testing in those areas that receive capacity upgrades.</w:t>
      </w:r>
    </w:p>
    <w:p w14:paraId="12C75115" w14:textId="77777777" w:rsidR="00CF3FBE" w:rsidRDefault="004C4121">
      <w:pPr>
        <w:pStyle w:val="normal0"/>
        <w:widowControl w:val="0"/>
        <w:spacing w:before="160" w:line="327" w:lineRule="auto"/>
      </w:pPr>
      <w:r>
        <w:rPr>
          <w:color w:val="333333"/>
          <w:sz w:val="20"/>
          <w:highlight w:val="white"/>
        </w:rPr>
        <w:t>Assume that this is the first formal announcement of the upgrade.</w:t>
      </w:r>
      <w:bookmarkStart w:id="0" w:name="_GoBack"/>
      <w:bookmarkEnd w:id="0"/>
    </w:p>
    <w:p w14:paraId="037E4AFB" w14:textId="77777777" w:rsidR="00CF3FBE" w:rsidRDefault="00CF3FBE">
      <w:pPr>
        <w:pStyle w:val="normal0"/>
        <w:widowControl w:val="0"/>
        <w:spacing w:before="160" w:line="327" w:lineRule="auto"/>
      </w:pPr>
    </w:p>
    <w:p w14:paraId="1F0F2314" w14:textId="77777777" w:rsidR="00CF3FBE" w:rsidRDefault="00CF3FBE">
      <w:pPr>
        <w:pStyle w:val="normal0"/>
        <w:widowControl w:val="0"/>
        <w:spacing w:before="160" w:line="327" w:lineRule="auto"/>
      </w:pPr>
    </w:p>
    <w:p w14:paraId="22C169F8" w14:textId="77777777" w:rsidR="00CF3FBE" w:rsidRDefault="004C4121">
      <w:pPr>
        <w:pStyle w:val="normal0"/>
      </w:pPr>
      <w:r>
        <w:br w:type="page"/>
      </w:r>
    </w:p>
    <w:p w14:paraId="710B0F4E" w14:textId="77777777" w:rsidR="00CF3FBE" w:rsidRDefault="00CF3FBE">
      <w:pPr>
        <w:pStyle w:val="normal0"/>
        <w:widowControl w:val="0"/>
        <w:spacing w:before="160" w:line="327" w:lineRule="auto"/>
      </w:pPr>
    </w:p>
    <w:p w14:paraId="505716BA" w14:textId="77777777" w:rsidR="00CF3FBE" w:rsidRDefault="004C4121">
      <w:pPr>
        <w:pStyle w:val="normal0"/>
        <w:widowControl w:val="0"/>
        <w:spacing w:before="160" w:line="327" w:lineRule="auto"/>
      </w:pPr>
      <w:r>
        <w:rPr>
          <w:b/>
          <w:color w:val="1C4587"/>
          <w:sz w:val="24"/>
          <w:highlight w:val="white"/>
        </w:rPr>
        <w:t>Communications Plan Table Exercise</w:t>
      </w:r>
    </w:p>
    <w:p w14:paraId="380FACEC" w14:textId="77777777" w:rsidR="00CF3FBE" w:rsidRDefault="004C4121">
      <w:pPr>
        <w:pStyle w:val="normal0"/>
        <w:widowControl w:val="0"/>
        <w:spacing w:before="160" w:line="327" w:lineRule="auto"/>
      </w:pPr>
      <w:r>
        <w:rPr>
          <w:color w:val="333333"/>
          <w:sz w:val="20"/>
          <w:highlight w:val="white"/>
        </w:rPr>
        <w:t>Using the scenario described, build a communications plan for this s</w:t>
      </w:r>
      <w:r>
        <w:rPr>
          <w:color w:val="333333"/>
          <w:sz w:val="20"/>
          <w:highlight w:val="white"/>
        </w:rPr>
        <w:t>ituation.</w:t>
      </w:r>
    </w:p>
    <w:p w14:paraId="4C699AEC" w14:textId="77777777" w:rsidR="00CF3FBE" w:rsidRDefault="004C4121">
      <w:pPr>
        <w:pStyle w:val="normal0"/>
        <w:widowControl w:val="0"/>
        <w:spacing w:before="160" w:line="327" w:lineRule="auto"/>
      </w:pPr>
      <w:r>
        <w:rPr>
          <w:color w:val="333333"/>
          <w:sz w:val="20"/>
          <w:highlight w:val="white"/>
        </w:rPr>
        <w:t>Questions to consider:</w:t>
      </w:r>
    </w:p>
    <w:p w14:paraId="0A692AA0" w14:textId="77777777" w:rsidR="00CF3FBE" w:rsidRDefault="004C4121">
      <w:pPr>
        <w:pStyle w:val="normal0"/>
        <w:widowControl w:val="0"/>
        <w:numPr>
          <w:ilvl w:val="0"/>
          <w:numId w:val="1"/>
        </w:numPr>
        <w:spacing w:before="160" w:line="327" w:lineRule="auto"/>
        <w:ind w:hanging="359"/>
        <w:contextualSpacing/>
        <w:rPr>
          <w:sz w:val="20"/>
          <w:highlight w:val="white"/>
        </w:rPr>
      </w:pPr>
      <w:r>
        <w:rPr>
          <w:color w:val="333333"/>
          <w:sz w:val="20"/>
          <w:highlight w:val="white"/>
        </w:rPr>
        <w:t>What audiences should be notified?</w:t>
      </w:r>
    </w:p>
    <w:p w14:paraId="7F94FC43" w14:textId="77777777" w:rsidR="00CF3FBE" w:rsidRDefault="004C4121">
      <w:pPr>
        <w:pStyle w:val="normal0"/>
        <w:widowControl w:val="0"/>
        <w:numPr>
          <w:ilvl w:val="0"/>
          <w:numId w:val="1"/>
        </w:numPr>
        <w:spacing w:before="160" w:line="327" w:lineRule="auto"/>
        <w:ind w:hanging="359"/>
        <w:contextualSpacing/>
        <w:rPr>
          <w:color w:val="333333"/>
          <w:sz w:val="20"/>
          <w:highlight w:val="white"/>
        </w:rPr>
      </w:pPr>
      <w:r>
        <w:rPr>
          <w:color w:val="333333"/>
          <w:sz w:val="20"/>
          <w:highlight w:val="white"/>
        </w:rPr>
        <w:t>Does the order of notification matter?</w:t>
      </w:r>
    </w:p>
    <w:p w14:paraId="119E82C4" w14:textId="77777777" w:rsidR="00CF3FBE" w:rsidRDefault="00CF3FBE">
      <w:pPr>
        <w:pStyle w:val="normal0"/>
        <w:widowControl w:val="0"/>
        <w:spacing w:before="160" w:line="327" w:lineRule="auto"/>
      </w:pPr>
    </w:p>
    <w:p w14:paraId="090B4663" w14:textId="77777777" w:rsidR="00CF3FBE" w:rsidRDefault="004C4121">
      <w:pPr>
        <w:pStyle w:val="Heading3"/>
        <w:widowControl w:val="0"/>
        <w:spacing w:before="460" w:line="375" w:lineRule="auto"/>
        <w:contextualSpacing w:val="0"/>
      </w:pPr>
      <w:bookmarkStart w:id="1" w:name="h.cqjlbt85q9y7" w:colFirst="0" w:colLast="0"/>
      <w:bookmarkEnd w:id="1"/>
      <w:r>
        <w:rPr>
          <w:rFonts w:ascii="Arial" w:eastAsia="Arial" w:hAnsi="Arial" w:cs="Arial"/>
          <w:color w:val="000000"/>
          <w:sz w:val="20"/>
          <w:highlight w:val="white"/>
        </w:rPr>
        <w:t>Communication Plan:</w:t>
      </w:r>
    </w:p>
    <w:tbl>
      <w:tblPr>
        <w:tblW w:w="9355" w:type="dxa"/>
        <w:tblInd w:w="150" w:type="dxa"/>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Layout w:type="fixed"/>
        <w:tblCellMar>
          <w:left w:w="10" w:type="dxa"/>
          <w:right w:w="10" w:type="dxa"/>
        </w:tblCellMar>
        <w:tblLook w:val="0000" w:firstRow="0" w:lastRow="0" w:firstColumn="0" w:lastColumn="0" w:noHBand="0" w:noVBand="0"/>
      </w:tblPr>
      <w:tblGrid>
        <w:gridCol w:w="1700"/>
        <w:gridCol w:w="1700"/>
        <w:gridCol w:w="3480"/>
        <w:gridCol w:w="1590"/>
        <w:gridCol w:w="885"/>
      </w:tblGrid>
      <w:tr w:rsidR="00CF3FBE" w14:paraId="57D1D843" w14:textId="77777777">
        <w:tblPrEx>
          <w:tblCellMar>
            <w:top w:w="0" w:type="dxa"/>
            <w:bottom w:w="0" w:type="dxa"/>
          </w:tblCellMar>
        </w:tblPrEx>
        <w:tc>
          <w:tcPr>
            <w:tcW w:w="1700" w:type="dxa"/>
            <w:shd w:val="clear" w:color="auto" w:fill="F0F0F0"/>
            <w:tcMar>
              <w:top w:w="100" w:type="dxa"/>
              <w:left w:w="160" w:type="dxa"/>
              <w:bottom w:w="100" w:type="dxa"/>
              <w:right w:w="220" w:type="dxa"/>
            </w:tcMar>
          </w:tcPr>
          <w:p w14:paraId="10980BC0" w14:textId="77777777" w:rsidR="00CF3FBE" w:rsidRDefault="004C4121">
            <w:pPr>
              <w:pStyle w:val="normal0"/>
              <w:widowControl w:val="0"/>
              <w:spacing w:before="160" w:line="327" w:lineRule="auto"/>
            </w:pPr>
            <w:r>
              <w:rPr>
                <w:b/>
                <w:sz w:val="20"/>
                <w:shd w:val="clear" w:color="auto" w:fill="F0F0F0"/>
              </w:rPr>
              <w:t>Audience</w:t>
            </w:r>
          </w:p>
        </w:tc>
        <w:tc>
          <w:tcPr>
            <w:tcW w:w="1700" w:type="dxa"/>
            <w:shd w:val="clear" w:color="auto" w:fill="F0F0F0"/>
            <w:tcMar>
              <w:top w:w="100" w:type="dxa"/>
              <w:left w:w="160" w:type="dxa"/>
              <w:bottom w:w="100" w:type="dxa"/>
              <w:right w:w="220" w:type="dxa"/>
            </w:tcMar>
          </w:tcPr>
          <w:p w14:paraId="340778AD" w14:textId="77777777" w:rsidR="00CF3FBE" w:rsidRDefault="004C4121">
            <w:pPr>
              <w:pStyle w:val="normal0"/>
              <w:widowControl w:val="0"/>
              <w:spacing w:before="160" w:line="327" w:lineRule="auto"/>
            </w:pPr>
            <w:r>
              <w:rPr>
                <w:b/>
                <w:sz w:val="20"/>
                <w:shd w:val="clear" w:color="auto" w:fill="F0F0F0"/>
              </w:rPr>
              <w:t>Topic</w:t>
            </w:r>
          </w:p>
        </w:tc>
        <w:tc>
          <w:tcPr>
            <w:tcW w:w="3480" w:type="dxa"/>
            <w:shd w:val="clear" w:color="auto" w:fill="F0F0F0"/>
            <w:tcMar>
              <w:top w:w="100" w:type="dxa"/>
              <w:left w:w="160" w:type="dxa"/>
              <w:bottom w:w="100" w:type="dxa"/>
              <w:right w:w="220" w:type="dxa"/>
            </w:tcMar>
          </w:tcPr>
          <w:p w14:paraId="1DAD59F8" w14:textId="77777777" w:rsidR="00CF3FBE" w:rsidRDefault="004C4121">
            <w:pPr>
              <w:pStyle w:val="normal0"/>
              <w:widowControl w:val="0"/>
              <w:spacing w:before="160" w:line="327" w:lineRule="auto"/>
            </w:pPr>
            <w:r>
              <w:rPr>
                <w:b/>
                <w:sz w:val="20"/>
                <w:shd w:val="clear" w:color="auto" w:fill="F0F0F0"/>
              </w:rPr>
              <w:t>Message</w:t>
            </w:r>
          </w:p>
        </w:tc>
        <w:tc>
          <w:tcPr>
            <w:tcW w:w="1590" w:type="dxa"/>
            <w:shd w:val="clear" w:color="auto" w:fill="F0F0F0"/>
            <w:tcMar>
              <w:top w:w="100" w:type="dxa"/>
              <w:left w:w="160" w:type="dxa"/>
              <w:bottom w:w="100" w:type="dxa"/>
              <w:right w:w="220" w:type="dxa"/>
            </w:tcMar>
          </w:tcPr>
          <w:p w14:paraId="1E613FC2" w14:textId="77777777" w:rsidR="00CF3FBE" w:rsidRDefault="004C4121">
            <w:pPr>
              <w:pStyle w:val="normal0"/>
              <w:widowControl w:val="0"/>
              <w:spacing w:before="160" w:line="327" w:lineRule="auto"/>
            </w:pPr>
            <w:r>
              <w:rPr>
                <w:b/>
                <w:sz w:val="20"/>
                <w:shd w:val="clear" w:color="auto" w:fill="F0F0F0"/>
              </w:rPr>
              <w:t>Status</w:t>
            </w:r>
          </w:p>
        </w:tc>
        <w:tc>
          <w:tcPr>
            <w:tcW w:w="885" w:type="dxa"/>
            <w:shd w:val="clear" w:color="auto" w:fill="F0F0F0"/>
            <w:tcMar>
              <w:top w:w="100" w:type="dxa"/>
              <w:left w:w="160" w:type="dxa"/>
              <w:bottom w:w="100" w:type="dxa"/>
              <w:right w:w="220" w:type="dxa"/>
            </w:tcMar>
          </w:tcPr>
          <w:p w14:paraId="13D7C5F4" w14:textId="77777777" w:rsidR="00CF3FBE" w:rsidRDefault="004C4121">
            <w:pPr>
              <w:pStyle w:val="normal0"/>
              <w:widowControl w:val="0"/>
              <w:spacing w:before="160" w:line="327" w:lineRule="auto"/>
            </w:pPr>
            <w:r>
              <w:rPr>
                <w:b/>
                <w:sz w:val="20"/>
                <w:shd w:val="clear" w:color="auto" w:fill="F0F0F0"/>
              </w:rPr>
              <w:t>Owner</w:t>
            </w:r>
          </w:p>
        </w:tc>
      </w:tr>
      <w:tr w:rsidR="00CF3FBE" w14:paraId="6D7ECFCC" w14:textId="77777777">
        <w:tblPrEx>
          <w:tblCellMar>
            <w:top w:w="0" w:type="dxa"/>
            <w:bottom w:w="0" w:type="dxa"/>
          </w:tblCellMar>
        </w:tblPrEx>
        <w:tc>
          <w:tcPr>
            <w:tcW w:w="1700" w:type="dxa"/>
            <w:tcMar>
              <w:top w:w="100" w:type="dxa"/>
              <w:left w:w="160" w:type="dxa"/>
              <w:bottom w:w="100" w:type="dxa"/>
              <w:right w:w="160" w:type="dxa"/>
            </w:tcMar>
          </w:tcPr>
          <w:p w14:paraId="28626C24" w14:textId="77777777" w:rsidR="00CF3FBE" w:rsidRDefault="00CF3FBE">
            <w:pPr>
              <w:pStyle w:val="normal0"/>
              <w:widowControl w:val="0"/>
              <w:spacing w:before="160" w:line="327" w:lineRule="auto"/>
            </w:pPr>
          </w:p>
        </w:tc>
        <w:tc>
          <w:tcPr>
            <w:tcW w:w="1700" w:type="dxa"/>
            <w:tcMar>
              <w:top w:w="100" w:type="dxa"/>
              <w:left w:w="160" w:type="dxa"/>
              <w:bottom w:w="100" w:type="dxa"/>
              <w:right w:w="160" w:type="dxa"/>
            </w:tcMar>
          </w:tcPr>
          <w:p w14:paraId="62DB66D6" w14:textId="77777777" w:rsidR="00CF3FBE" w:rsidRDefault="00CF3FBE">
            <w:pPr>
              <w:pStyle w:val="normal0"/>
              <w:widowControl w:val="0"/>
              <w:spacing w:before="320" w:line="327" w:lineRule="auto"/>
            </w:pPr>
          </w:p>
        </w:tc>
        <w:tc>
          <w:tcPr>
            <w:tcW w:w="3480" w:type="dxa"/>
            <w:tcMar>
              <w:top w:w="100" w:type="dxa"/>
              <w:left w:w="160" w:type="dxa"/>
              <w:bottom w:w="100" w:type="dxa"/>
              <w:right w:w="160" w:type="dxa"/>
            </w:tcMar>
          </w:tcPr>
          <w:p w14:paraId="1604FDB5" w14:textId="77777777" w:rsidR="00CF3FBE" w:rsidRDefault="004C4121">
            <w:pPr>
              <w:pStyle w:val="normal0"/>
              <w:widowControl w:val="0"/>
              <w:spacing w:before="160" w:line="327" w:lineRule="auto"/>
            </w:pPr>
            <w:r>
              <w:rPr>
                <w:color w:val="333333"/>
                <w:sz w:val="20"/>
                <w:highlight w:val="white"/>
              </w:rPr>
              <w:t>SUBJECT:</w:t>
            </w:r>
          </w:p>
          <w:p w14:paraId="5885B3B0" w14:textId="77777777" w:rsidR="00CF3FBE" w:rsidRDefault="004C4121">
            <w:pPr>
              <w:pStyle w:val="normal0"/>
              <w:widowControl w:val="0"/>
              <w:spacing w:before="320" w:line="327" w:lineRule="auto"/>
            </w:pPr>
            <w:r>
              <w:rPr>
                <w:color w:val="333333"/>
                <w:sz w:val="20"/>
                <w:highlight w:val="white"/>
              </w:rPr>
              <w:t>MESSAGE:</w:t>
            </w:r>
          </w:p>
          <w:p w14:paraId="1C4B43DA" w14:textId="77777777" w:rsidR="00CF3FBE" w:rsidRDefault="00CF3FBE">
            <w:pPr>
              <w:pStyle w:val="normal0"/>
              <w:widowControl w:val="0"/>
              <w:spacing w:before="320" w:line="327" w:lineRule="auto"/>
            </w:pPr>
          </w:p>
        </w:tc>
        <w:tc>
          <w:tcPr>
            <w:tcW w:w="1590" w:type="dxa"/>
            <w:tcMar>
              <w:top w:w="100" w:type="dxa"/>
              <w:left w:w="160" w:type="dxa"/>
              <w:bottom w:w="100" w:type="dxa"/>
              <w:right w:w="160" w:type="dxa"/>
            </w:tcMar>
          </w:tcPr>
          <w:p w14:paraId="0E76BEAA" w14:textId="77777777" w:rsidR="00CF3FBE" w:rsidRDefault="00CF3FBE">
            <w:pPr>
              <w:pStyle w:val="normal0"/>
              <w:widowControl w:val="0"/>
              <w:spacing w:before="160" w:line="327" w:lineRule="auto"/>
            </w:pPr>
          </w:p>
        </w:tc>
        <w:tc>
          <w:tcPr>
            <w:tcW w:w="885" w:type="dxa"/>
            <w:tcMar>
              <w:top w:w="100" w:type="dxa"/>
              <w:left w:w="160" w:type="dxa"/>
              <w:bottom w:w="100" w:type="dxa"/>
              <w:right w:w="160" w:type="dxa"/>
            </w:tcMar>
          </w:tcPr>
          <w:p w14:paraId="7C7D49A2" w14:textId="77777777" w:rsidR="00CF3FBE" w:rsidRDefault="00CF3FBE">
            <w:pPr>
              <w:pStyle w:val="normal0"/>
              <w:widowControl w:val="0"/>
              <w:spacing w:before="160" w:line="327" w:lineRule="auto"/>
            </w:pPr>
          </w:p>
        </w:tc>
      </w:tr>
      <w:tr w:rsidR="00CF3FBE" w14:paraId="16206FAA" w14:textId="77777777">
        <w:tblPrEx>
          <w:tblCellMar>
            <w:top w:w="0" w:type="dxa"/>
            <w:bottom w:w="0" w:type="dxa"/>
          </w:tblCellMar>
        </w:tblPrEx>
        <w:tc>
          <w:tcPr>
            <w:tcW w:w="1700" w:type="dxa"/>
            <w:tcMar>
              <w:top w:w="100" w:type="dxa"/>
              <w:left w:w="160" w:type="dxa"/>
              <w:bottom w:w="100" w:type="dxa"/>
              <w:right w:w="160" w:type="dxa"/>
            </w:tcMar>
          </w:tcPr>
          <w:p w14:paraId="34F6C05E" w14:textId="77777777" w:rsidR="00CF3FBE" w:rsidRDefault="00CF3FBE">
            <w:pPr>
              <w:pStyle w:val="normal0"/>
              <w:widowControl w:val="0"/>
              <w:spacing w:before="160" w:line="327" w:lineRule="auto"/>
            </w:pPr>
          </w:p>
        </w:tc>
        <w:tc>
          <w:tcPr>
            <w:tcW w:w="1700" w:type="dxa"/>
            <w:tcMar>
              <w:top w:w="100" w:type="dxa"/>
              <w:left w:w="160" w:type="dxa"/>
              <w:bottom w:w="100" w:type="dxa"/>
              <w:right w:w="160" w:type="dxa"/>
            </w:tcMar>
          </w:tcPr>
          <w:p w14:paraId="793EA857" w14:textId="77777777" w:rsidR="00CF3FBE" w:rsidRDefault="00CF3FBE">
            <w:pPr>
              <w:pStyle w:val="normal0"/>
              <w:widowControl w:val="0"/>
              <w:spacing w:before="160" w:line="327" w:lineRule="auto"/>
            </w:pPr>
          </w:p>
        </w:tc>
        <w:tc>
          <w:tcPr>
            <w:tcW w:w="3480" w:type="dxa"/>
            <w:tcMar>
              <w:top w:w="100" w:type="dxa"/>
              <w:left w:w="160" w:type="dxa"/>
              <w:bottom w:w="100" w:type="dxa"/>
              <w:right w:w="160" w:type="dxa"/>
            </w:tcMar>
          </w:tcPr>
          <w:p w14:paraId="73CD1BC5" w14:textId="77777777" w:rsidR="00CF3FBE" w:rsidRDefault="004C4121">
            <w:pPr>
              <w:pStyle w:val="normal0"/>
              <w:widowControl w:val="0"/>
              <w:spacing w:before="160" w:line="327" w:lineRule="auto"/>
            </w:pPr>
            <w:r>
              <w:rPr>
                <w:color w:val="333333"/>
                <w:sz w:val="20"/>
                <w:highlight w:val="white"/>
              </w:rPr>
              <w:t>SUBJECT:</w:t>
            </w:r>
          </w:p>
          <w:p w14:paraId="1EAF52AC" w14:textId="77777777" w:rsidR="00CF3FBE" w:rsidRDefault="004C4121">
            <w:pPr>
              <w:pStyle w:val="normal0"/>
              <w:widowControl w:val="0"/>
              <w:spacing w:before="320" w:line="327" w:lineRule="auto"/>
            </w:pPr>
            <w:r>
              <w:rPr>
                <w:color w:val="333333"/>
                <w:sz w:val="20"/>
                <w:highlight w:val="white"/>
              </w:rPr>
              <w:t>MESSAGE:</w:t>
            </w:r>
          </w:p>
        </w:tc>
        <w:tc>
          <w:tcPr>
            <w:tcW w:w="1590" w:type="dxa"/>
            <w:tcMar>
              <w:top w:w="100" w:type="dxa"/>
              <w:left w:w="160" w:type="dxa"/>
              <w:bottom w:w="100" w:type="dxa"/>
              <w:right w:w="160" w:type="dxa"/>
            </w:tcMar>
          </w:tcPr>
          <w:p w14:paraId="47035EEF" w14:textId="77777777" w:rsidR="00CF3FBE" w:rsidRDefault="00CF3FBE">
            <w:pPr>
              <w:pStyle w:val="normal0"/>
              <w:widowControl w:val="0"/>
              <w:spacing w:before="160" w:line="327" w:lineRule="auto"/>
            </w:pPr>
          </w:p>
        </w:tc>
        <w:tc>
          <w:tcPr>
            <w:tcW w:w="885" w:type="dxa"/>
            <w:tcMar>
              <w:top w:w="100" w:type="dxa"/>
              <w:left w:w="160" w:type="dxa"/>
              <w:bottom w:w="100" w:type="dxa"/>
              <w:right w:w="160" w:type="dxa"/>
            </w:tcMar>
          </w:tcPr>
          <w:p w14:paraId="675DD77B" w14:textId="77777777" w:rsidR="00CF3FBE" w:rsidRDefault="00CF3FBE">
            <w:pPr>
              <w:pStyle w:val="normal0"/>
              <w:widowControl w:val="0"/>
              <w:spacing w:before="160" w:line="327" w:lineRule="auto"/>
            </w:pPr>
          </w:p>
        </w:tc>
      </w:tr>
    </w:tbl>
    <w:p w14:paraId="75688866" w14:textId="77777777" w:rsidR="00CF3FBE" w:rsidRDefault="00CF3FBE">
      <w:pPr>
        <w:pStyle w:val="normal0"/>
        <w:widowControl w:val="0"/>
      </w:pPr>
    </w:p>
    <w:p w14:paraId="4645A15F" w14:textId="77777777" w:rsidR="00CF3FBE" w:rsidRDefault="00CF3FBE">
      <w:pPr>
        <w:pStyle w:val="normal0"/>
        <w:widowControl w:val="0"/>
      </w:pPr>
    </w:p>
    <w:sectPr w:rsidR="00CF3FBE">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67CA17" w14:textId="77777777" w:rsidR="00000000" w:rsidRDefault="004C4121">
      <w:r>
        <w:separator/>
      </w:r>
    </w:p>
  </w:endnote>
  <w:endnote w:type="continuationSeparator" w:id="0">
    <w:p w14:paraId="31B65104" w14:textId="77777777" w:rsidR="00000000" w:rsidRDefault="004C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C2338" w14:textId="77777777" w:rsidR="00CF3FBE" w:rsidRDefault="004C4121">
    <w:pPr>
      <w:pStyle w:val="normal0"/>
    </w:pPr>
    <w:r>
      <w:rPr>
        <w:sz w:val="12"/>
      </w:rPr>
      <w:t>Copyright Patrick Chinn, Kelsey Lunsmann, and the University of Oregon 2014. This work is the intellectual property of the author. Permission is granted for this material to be shared for non-commercial, educational purposes, provided that this copyright s</w:t>
    </w:r>
    <w:r>
      <w:rPr>
        <w:sz w:val="12"/>
      </w:rPr>
      <w:t>tatement appears on the reproduced materials and notice is given that the copying is by permission of the author. To disseminate otherwise or to republish requires written permission from the author.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4C9E23" w14:textId="77777777" w:rsidR="00000000" w:rsidRDefault="004C4121">
      <w:r>
        <w:separator/>
      </w:r>
    </w:p>
  </w:footnote>
  <w:footnote w:type="continuationSeparator" w:id="0">
    <w:p w14:paraId="0C7F40F2" w14:textId="77777777" w:rsidR="00000000" w:rsidRDefault="004C412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418E4"/>
    <w:multiLevelType w:val="multilevel"/>
    <w:tmpl w:val="0EC870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F3FBE"/>
    <w:rsid w:val="004C4121"/>
    <w:rsid w:val="00CF3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5BA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1273</Characters>
  <Application>Microsoft Macintosh Word</Application>
  <DocSecurity>0</DocSecurity>
  <Lines>45</Lines>
  <Paragraphs>19</Paragraphs>
  <ScaleCrop>false</ScaleCrop>
  <HeadingPairs>
    <vt:vector size="2" baseType="variant">
      <vt:variant>
        <vt:lpstr>Title</vt:lpstr>
      </vt:variant>
      <vt:variant>
        <vt:i4>1</vt:i4>
      </vt:variant>
    </vt:vector>
  </HeadingPairs>
  <TitlesOfParts>
    <vt:vector size="1" baseType="lpstr">
      <vt:lpstr>Wireless Upgrade Scenario.docx</vt:lpstr>
    </vt:vector>
  </TitlesOfParts>
  <Manager/>
  <Company>University of Oregon Information Services</Company>
  <LinksUpToDate>false</LinksUpToDate>
  <CharactersWithSpaces>1485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Communicating Effectively with Your Users Wireless Upgrade Scenario</dc:title>
  <dc:subject>Communicating Effectively with Your Users</dc:subject>
  <dc:creator>Patrick Chinn and Kelsey Lunsmann</dc:creator>
  <cp:keywords/>
  <dc:description/>
  <cp:lastModifiedBy>Patrick Chinn</cp:lastModifiedBy>
  <cp:revision>2</cp:revision>
  <dcterms:created xsi:type="dcterms:W3CDTF">2014-02-10T23:28:00Z</dcterms:created>
  <dcterms:modified xsi:type="dcterms:W3CDTF">2014-02-10T23:30:00Z</dcterms:modified>
  <cp:category/>
</cp:coreProperties>
</file>